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2C2E36">
      <w:pPr>
        <w:widowControl w:val="0"/>
        <w:kinsoku/>
        <w:autoSpaceDE/>
        <w:autoSpaceDN/>
        <w:adjustRightInd/>
        <w:snapToGrid/>
        <w:spacing w:before="480" w:after="480" w:line="288" w:lineRule="auto"/>
        <w:jc w:val="center"/>
        <w:textAlignment w:val="auto"/>
        <w:rPr>
          <w:rFonts w:hint="eastAsia" w:ascii="宋体" w:hAnsi="宋体" w:eastAsia="宋体" w:cs="宋体"/>
          <w:b/>
          <w:snapToGrid/>
          <w:kern w:val="44"/>
          <w:sz w:val="44"/>
          <w:szCs w:val="24"/>
          <w:lang w:eastAsia="zh-CN"/>
        </w:rPr>
      </w:pPr>
      <w:r>
        <w:rPr>
          <w:rFonts w:ascii="宋体" w:hAnsi="宋体" w:eastAsia="宋体" w:cs="宋体"/>
          <w:b/>
          <w:snapToGrid/>
          <w:kern w:val="44"/>
          <w:sz w:val="44"/>
          <w:szCs w:val="24"/>
          <w:lang w:eastAsia="zh-CN"/>
        </w:rPr>
        <w:t>《化妆品用原料油茶籽油》</w:t>
      </w:r>
    </w:p>
    <w:p w14:paraId="61CDE71F">
      <w:pPr>
        <w:widowControl w:val="0"/>
        <w:kinsoku/>
        <w:autoSpaceDE/>
        <w:autoSpaceDN/>
        <w:adjustRightInd/>
        <w:snapToGrid/>
        <w:spacing w:before="480" w:after="480" w:line="288" w:lineRule="auto"/>
        <w:jc w:val="center"/>
        <w:textAlignment w:val="auto"/>
        <w:rPr>
          <w:rFonts w:hint="eastAsia" w:ascii="宋体" w:hAnsi="宋体" w:eastAsia="宋体" w:cs="宋体"/>
          <w:b/>
          <w:snapToGrid/>
          <w:kern w:val="44"/>
          <w:sz w:val="44"/>
          <w:szCs w:val="24"/>
          <w:lang w:eastAsia="zh-CN"/>
        </w:rPr>
      </w:pPr>
      <w:r>
        <w:rPr>
          <w:rFonts w:ascii="宋体" w:hAnsi="宋体" w:eastAsia="宋体" w:cs="宋体"/>
          <w:b/>
          <w:snapToGrid/>
          <w:kern w:val="44"/>
          <w:sz w:val="44"/>
          <w:szCs w:val="24"/>
          <w:lang w:eastAsia="zh-CN"/>
        </w:rPr>
        <w:t>团体标准编制说明</w:t>
      </w:r>
    </w:p>
    <w:p w14:paraId="3F484EB3">
      <w:pPr>
        <w:spacing w:line="360" w:lineRule="auto"/>
        <w:outlineLvl w:val="1"/>
        <w:rPr>
          <w:rFonts w:hint="eastAsia" w:ascii="宋体" w:hAnsi="宋体" w:eastAsia="宋体" w:cs="宋体"/>
          <w:sz w:val="24"/>
          <w:szCs w:val="24"/>
          <w:lang w:eastAsia="zh-CN"/>
        </w:rPr>
      </w:pPr>
      <w:r>
        <w:rPr>
          <w:rFonts w:ascii="宋体" w:hAnsi="宋体" w:eastAsia="宋体" w:cs="宋体"/>
          <w:b/>
          <w:bCs/>
          <w:spacing w:val="-13"/>
          <w:sz w:val="24"/>
          <w:szCs w:val="24"/>
          <w:lang w:eastAsia="zh-CN"/>
        </w:rPr>
        <w:t>一、标准起草的基本情况（包括简要的起草过程、主要起草单位、起草人等）</w:t>
      </w:r>
    </w:p>
    <w:p w14:paraId="01305E61">
      <w:pPr>
        <w:pStyle w:val="3"/>
        <w:spacing w:line="360" w:lineRule="auto"/>
        <w:ind w:firstLine="416" w:firstLineChars="200"/>
        <w:jc w:val="both"/>
        <w:rPr>
          <w:rFonts w:hint="eastAsia"/>
          <w:spacing w:val="-6"/>
          <w:lang w:eastAsia="zh-CN"/>
        </w:rPr>
      </w:pPr>
      <w:r>
        <w:rPr>
          <w:spacing w:val="-1"/>
          <w:lang w:eastAsia="zh-CN"/>
        </w:rPr>
        <w:t>油茶(</w:t>
      </w:r>
      <w:r>
        <w:rPr>
          <w:rFonts w:hint="eastAsia"/>
          <w:i/>
          <w:iCs/>
          <w:spacing w:val="-1"/>
          <w:lang w:eastAsia="zh-CN"/>
        </w:rPr>
        <w:t>Camellia oleifera</w:t>
      </w:r>
      <w:r>
        <w:rPr>
          <w:rFonts w:hint="eastAsia"/>
          <w:spacing w:val="-1"/>
          <w:lang w:eastAsia="zh-CN"/>
        </w:rPr>
        <w:t xml:space="preserve"> </w:t>
      </w:r>
      <w:r>
        <w:rPr>
          <w:spacing w:val="-1"/>
          <w:lang w:eastAsia="zh-CN"/>
        </w:rPr>
        <w:t>Abel</w:t>
      </w:r>
      <w:r>
        <w:rPr>
          <w:rFonts w:hint="eastAsia"/>
          <w:spacing w:val="-1"/>
          <w:lang w:eastAsia="zh-CN"/>
        </w:rPr>
        <w:t>.</w:t>
      </w:r>
      <w:r>
        <w:rPr>
          <w:spacing w:val="-1"/>
          <w:lang w:eastAsia="zh-CN"/>
        </w:rPr>
        <w:t>)是山茶科山茶属的常绿小乔木，油茶是与椰子、油棕、</w:t>
      </w:r>
      <w:r>
        <w:rPr>
          <w:lang w:eastAsia="zh-CN"/>
        </w:rPr>
        <w:t>油橄榄齐名的世界四大木本油料植物之一，且是唯一</w:t>
      </w:r>
      <w:r>
        <w:rPr>
          <w:spacing w:val="-1"/>
          <w:lang w:eastAsia="zh-CN"/>
        </w:rPr>
        <w:t>生长在中国境内的特色植物油料资源。</w:t>
      </w:r>
      <w:r>
        <w:rPr>
          <w:spacing w:val="-8"/>
          <w:lang w:eastAsia="zh-CN"/>
        </w:rPr>
        <w:t>从油茶籽中提取得到油茶籽油既是高档食用油，也是化妆品用</w:t>
      </w:r>
      <w:r>
        <w:rPr>
          <w:rFonts w:hint="eastAsia"/>
          <w:spacing w:val="-8"/>
          <w:lang w:eastAsia="zh-CN"/>
        </w:rPr>
        <w:t>原料</w:t>
      </w:r>
      <w:r>
        <w:rPr>
          <w:spacing w:val="-8"/>
          <w:lang w:eastAsia="zh-CN"/>
        </w:rPr>
        <w:t>。《本草纲目》、《全唐诗》</w:t>
      </w:r>
      <w:r>
        <w:rPr>
          <w:spacing w:val="-7"/>
          <w:lang w:eastAsia="zh-CN"/>
        </w:rPr>
        <w:t>记载了油茶籽油对皮肤的滋养作用；《广东新语》记载</w:t>
      </w:r>
      <w:r>
        <w:rPr>
          <w:spacing w:val="-8"/>
          <w:lang w:eastAsia="zh-CN"/>
        </w:rPr>
        <w:t>了当时风靡一时的头油“露花油”，是</w:t>
      </w:r>
      <w:r>
        <w:rPr>
          <w:spacing w:val="-2"/>
          <w:lang w:eastAsia="zh-CN"/>
        </w:rPr>
        <w:t>将露花晒干后融入油茶籽油中制作而成的，可见古代已将油</w:t>
      </w:r>
      <w:r>
        <w:rPr>
          <w:spacing w:val="-3"/>
          <w:lang w:eastAsia="zh-CN"/>
        </w:rPr>
        <w:t>茶籽油用于护发。油茶主要分布</w:t>
      </w:r>
      <w:r>
        <w:rPr>
          <w:spacing w:val="-2"/>
          <w:lang w:eastAsia="zh-CN"/>
        </w:rPr>
        <w:t>在湖南、江西、广西、广东、湖北、安徽、浙江、福建、河</w:t>
      </w:r>
      <w:r>
        <w:rPr>
          <w:spacing w:val="-3"/>
          <w:lang w:eastAsia="zh-CN"/>
        </w:rPr>
        <w:t>南等地区。根据有关报道，全国</w:t>
      </w:r>
      <w:r>
        <w:rPr>
          <w:spacing w:val="-2"/>
          <w:lang w:eastAsia="zh-CN"/>
        </w:rPr>
        <w:t>油茶种植面积7300万亩左右，油茶籽油产量近90万吨，截至2023年底，湖南省油茶林总</w:t>
      </w:r>
      <w:r>
        <w:rPr>
          <w:spacing w:val="6"/>
          <w:lang w:eastAsia="zh-CN"/>
        </w:rPr>
        <w:t>面积2327万亩，油茶籽油产量32万吨，产值773亿元（数据来源于湖南省林业局</w:t>
      </w:r>
      <w:r>
        <w:fldChar w:fldCharType="begin"/>
      </w:r>
      <w:r>
        <w:instrText xml:space="preserve"> HYPERLINK "http://lyj.hunan.gov.cn/" </w:instrText>
      </w:r>
      <w:r>
        <w:fldChar w:fldCharType="separate"/>
      </w:r>
      <w:r>
        <w:rPr>
          <w:spacing w:val="-6"/>
          <w:lang w:eastAsia="zh-CN"/>
        </w:rPr>
        <w:t>http://lyj.hunan.gov.cn/</w:t>
      </w:r>
      <w:r>
        <w:rPr>
          <w:spacing w:val="-6"/>
          <w:lang w:eastAsia="zh-CN"/>
        </w:rPr>
        <w:fldChar w:fldCharType="end"/>
      </w:r>
      <w:r>
        <w:rPr>
          <w:spacing w:val="-6"/>
          <w:lang w:eastAsia="zh-CN"/>
        </w:rPr>
        <w:t>）。湖南省油茶林总面积、产量、产值和科技水平均居全国第一。</w:t>
      </w:r>
    </w:p>
    <w:p w14:paraId="4AE28AD8">
      <w:pPr>
        <w:pStyle w:val="3"/>
        <w:spacing w:line="360" w:lineRule="auto"/>
        <w:ind w:firstLine="396" w:firstLineChars="200"/>
        <w:jc w:val="both"/>
        <w:rPr>
          <w:rFonts w:hint="eastAsia"/>
          <w:spacing w:val="-6"/>
          <w:lang w:eastAsia="zh-CN"/>
        </w:rPr>
      </w:pPr>
    </w:p>
    <w:p w14:paraId="408583EA">
      <w:pPr>
        <w:spacing w:line="360" w:lineRule="auto"/>
        <w:outlineLvl w:val="2"/>
        <w:rPr>
          <w:rFonts w:hint="eastAsia" w:asciiTheme="minorEastAsia" w:hAnsiTheme="minorEastAsia" w:eastAsiaTheme="minorEastAsia" w:cstheme="minorEastAsia"/>
          <w:b/>
          <w:bCs/>
          <w:spacing w:val="-3"/>
          <w:sz w:val="22"/>
          <w:szCs w:val="22"/>
          <w:lang w:eastAsia="zh-CN"/>
        </w:rPr>
      </w:pPr>
      <w:r>
        <w:rPr>
          <w:rFonts w:hint="eastAsia" w:asciiTheme="minorEastAsia" w:hAnsiTheme="minorEastAsia" w:eastAsiaTheme="minorEastAsia" w:cstheme="minorEastAsia"/>
          <w:b/>
          <w:bCs/>
          <w:spacing w:val="-3"/>
          <w:sz w:val="22"/>
          <w:szCs w:val="22"/>
          <w:lang w:eastAsia="zh-CN"/>
        </w:rPr>
        <w:t>1、工作来源</w:t>
      </w:r>
    </w:p>
    <w:p w14:paraId="7D95603E">
      <w:pPr>
        <w:pStyle w:val="3"/>
        <w:spacing w:line="360" w:lineRule="auto"/>
        <w:ind w:firstLine="416" w:firstLineChars="200"/>
        <w:jc w:val="both"/>
        <w:rPr>
          <w:rFonts w:hint="eastAsia"/>
          <w:spacing w:val="-1"/>
          <w:lang w:eastAsia="zh-CN"/>
        </w:rPr>
      </w:pPr>
      <w:r>
        <w:rPr>
          <w:spacing w:val="-1"/>
          <w:lang w:eastAsia="zh-CN"/>
        </w:rPr>
        <w:t>2024年8月，本本团体标准经中国香料香精化妆品工业协会审议通过立项，通知见《关于2024年中国香料香精化妆品工业协会团体标准（第五批）立项公示的通知》。</w:t>
      </w:r>
    </w:p>
    <w:p w14:paraId="700C328A">
      <w:pPr>
        <w:spacing w:line="360" w:lineRule="auto"/>
        <w:outlineLvl w:val="2"/>
        <w:rPr>
          <w:rFonts w:hint="eastAsia" w:asciiTheme="minorEastAsia" w:hAnsiTheme="minorEastAsia" w:eastAsiaTheme="minorEastAsia" w:cstheme="minorEastAsia"/>
          <w:b/>
          <w:bCs/>
          <w:spacing w:val="-3"/>
          <w:sz w:val="22"/>
          <w:szCs w:val="22"/>
          <w:lang w:eastAsia="zh-CN"/>
        </w:rPr>
      </w:pPr>
    </w:p>
    <w:p w14:paraId="39E1900C">
      <w:pPr>
        <w:spacing w:line="360" w:lineRule="auto"/>
        <w:outlineLvl w:val="2"/>
        <w:rPr>
          <w:rFonts w:hint="eastAsia" w:asciiTheme="minorEastAsia" w:hAnsiTheme="minorEastAsia" w:eastAsiaTheme="minorEastAsia" w:cstheme="minorEastAsia"/>
          <w:b/>
          <w:bCs/>
          <w:spacing w:val="-3"/>
          <w:sz w:val="22"/>
          <w:szCs w:val="22"/>
          <w:lang w:eastAsia="zh-CN"/>
        </w:rPr>
      </w:pPr>
      <w:r>
        <w:rPr>
          <w:rFonts w:hint="eastAsia" w:asciiTheme="minorEastAsia" w:hAnsiTheme="minorEastAsia" w:eastAsiaTheme="minorEastAsia" w:cstheme="minorEastAsia"/>
          <w:b/>
          <w:bCs/>
          <w:spacing w:val="-3"/>
          <w:sz w:val="22"/>
          <w:szCs w:val="22"/>
          <w:lang w:eastAsia="zh-CN"/>
        </w:rPr>
        <w:t>2、起草单位与主要起草人</w:t>
      </w:r>
    </w:p>
    <w:p w14:paraId="47D333C4">
      <w:pPr>
        <w:pStyle w:val="3"/>
        <w:spacing w:line="360" w:lineRule="auto"/>
        <w:ind w:firstLine="416" w:firstLineChars="200"/>
        <w:jc w:val="both"/>
        <w:rPr>
          <w:rFonts w:hint="eastAsia"/>
          <w:spacing w:val="-1"/>
          <w:lang w:eastAsia="zh-CN"/>
        </w:rPr>
      </w:pPr>
      <w:r>
        <w:rPr>
          <w:rFonts w:hint="eastAsia"/>
          <w:spacing w:val="-1"/>
          <w:lang w:eastAsia="zh-CN"/>
        </w:rPr>
        <w:t>本标准起草单位有：中南林业科技大学、湖南秦湘九州生物科技股份有限公司、湖南金昌生物技术有限公司、湖南大三湘茶油股份有限公司、湖南奇异生物科技有限公司、湖南山润油茶科技发展有限公司、长沙林研科技发展有限公司、江西健达食品科技股份有限公司。</w:t>
      </w:r>
    </w:p>
    <w:p w14:paraId="4BB8EBF2">
      <w:pPr>
        <w:spacing w:line="360" w:lineRule="auto"/>
        <w:ind w:firstLine="416" w:firstLineChars="200"/>
        <w:jc w:val="both"/>
        <w:outlineLvl w:val="2"/>
        <w:rPr>
          <w:rFonts w:hint="eastAsia" w:ascii="仿宋" w:hAnsi="仿宋" w:eastAsia="仿宋" w:cs="仿宋"/>
          <w:spacing w:val="-1"/>
          <w:lang w:eastAsia="zh-CN"/>
        </w:rPr>
      </w:pPr>
      <w:r>
        <w:rPr>
          <w:rFonts w:hint="eastAsia" w:ascii="仿宋" w:hAnsi="仿宋" w:eastAsia="仿宋" w:cs="仿宋"/>
          <w:spacing w:val="-1"/>
          <w:lang w:eastAsia="zh-CN"/>
        </w:rPr>
        <w:t>本标准主要起草人有：张胜、廖慧慧、杨光永、周辛、边江华、黄闺、吴丹、周奇志、贺智锋、康文术、沈道伟、陈清、李维新、周军、周友胜。</w:t>
      </w:r>
      <w:bookmarkStart w:id="0" w:name="_GoBack"/>
      <w:bookmarkEnd w:id="0"/>
    </w:p>
    <w:p w14:paraId="5249CD04">
      <w:pPr>
        <w:spacing w:line="360" w:lineRule="auto"/>
        <w:outlineLvl w:val="2"/>
        <w:rPr>
          <w:rFonts w:hint="eastAsia" w:asciiTheme="minorEastAsia" w:hAnsiTheme="minorEastAsia" w:eastAsiaTheme="minorEastAsia" w:cstheme="minorEastAsia"/>
          <w:b/>
          <w:bCs/>
          <w:spacing w:val="-3"/>
          <w:sz w:val="22"/>
          <w:szCs w:val="22"/>
          <w:lang w:eastAsia="zh-CN"/>
        </w:rPr>
      </w:pPr>
    </w:p>
    <w:p w14:paraId="742DE282">
      <w:pPr>
        <w:spacing w:line="360" w:lineRule="auto"/>
        <w:outlineLvl w:val="2"/>
        <w:rPr>
          <w:rFonts w:hint="eastAsia" w:asciiTheme="minorEastAsia" w:hAnsiTheme="minorEastAsia" w:eastAsiaTheme="minorEastAsia" w:cstheme="minorEastAsia"/>
          <w:b/>
          <w:bCs/>
          <w:spacing w:val="-3"/>
          <w:sz w:val="22"/>
          <w:szCs w:val="22"/>
          <w:lang w:eastAsia="zh-CN"/>
        </w:rPr>
      </w:pPr>
      <w:r>
        <w:rPr>
          <w:rFonts w:hint="eastAsia" w:asciiTheme="minorEastAsia" w:hAnsiTheme="minorEastAsia" w:eastAsiaTheme="minorEastAsia" w:cstheme="minorEastAsia"/>
          <w:b/>
          <w:bCs/>
          <w:spacing w:val="-3"/>
          <w:sz w:val="22"/>
          <w:szCs w:val="22"/>
          <w:lang w:eastAsia="zh-CN"/>
        </w:rPr>
        <w:t>3、主要工作过程</w:t>
      </w:r>
    </w:p>
    <w:p w14:paraId="5E5C0C24">
      <w:pPr>
        <w:pStyle w:val="3"/>
        <w:spacing w:line="360" w:lineRule="auto"/>
        <w:ind w:firstLine="416" w:firstLineChars="200"/>
        <w:jc w:val="both"/>
        <w:rPr>
          <w:rFonts w:hint="eastAsia"/>
          <w:spacing w:val="-1"/>
          <w:lang w:eastAsia="zh-CN"/>
        </w:rPr>
      </w:pPr>
      <w:r>
        <w:rPr>
          <w:spacing w:val="-1"/>
          <w:lang w:eastAsia="zh-CN"/>
        </w:rPr>
        <w:t>2024年7月，中南林业科技大学为立项申请人向中国香料香精化妆品工业协会提出《化妆品原料油茶籽油》团体标准立项提案。</w:t>
      </w:r>
    </w:p>
    <w:p w14:paraId="283AA53D">
      <w:pPr>
        <w:pStyle w:val="3"/>
        <w:spacing w:line="360" w:lineRule="auto"/>
        <w:ind w:firstLine="416" w:firstLineChars="200"/>
        <w:jc w:val="both"/>
        <w:rPr>
          <w:rFonts w:hint="eastAsia"/>
          <w:spacing w:val="-1"/>
          <w:lang w:eastAsia="zh-CN"/>
        </w:rPr>
      </w:pPr>
      <w:r>
        <w:rPr>
          <w:spacing w:val="-1"/>
          <w:lang w:eastAsia="zh-CN"/>
        </w:rPr>
        <w:t>2024年8月13日，经中国香料香精化妆品工业协会初审并征求行业专家立项论证和审核，《化妆品原料油茶籽油》团体标准正式获批立项，并在协会官方网站进行了为期15日的公示。</w:t>
      </w:r>
    </w:p>
    <w:p w14:paraId="68695F3A">
      <w:pPr>
        <w:pStyle w:val="3"/>
        <w:spacing w:line="360" w:lineRule="auto"/>
        <w:ind w:firstLine="416" w:firstLineChars="200"/>
        <w:jc w:val="both"/>
        <w:rPr>
          <w:rFonts w:hint="eastAsia"/>
          <w:spacing w:val="-1"/>
          <w:lang w:eastAsia="zh-CN"/>
        </w:rPr>
      </w:pPr>
      <w:r>
        <w:rPr>
          <w:spacing w:val="-1"/>
          <w:lang w:eastAsia="zh-CN"/>
        </w:rPr>
        <w:t>2024年9月，成立标准制定工作组。邀请从事植物提取物产品生产、标准制修订、分析检测、具有丰富技术经验的专业研究人员与相关企业</w:t>
      </w:r>
      <w:r>
        <w:rPr>
          <w:rFonts w:hint="eastAsia"/>
          <w:spacing w:val="-1"/>
          <w:lang w:eastAsia="zh-CN"/>
        </w:rPr>
        <w:t>召开</w:t>
      </w:r>
      <w:r>
        <w:rPr>
          <w:spacing w:val="-1"/>
          <w:lang w:eastAsia="zh-CN"/>
        </w:rPr>
        <w:t>团体标准《化妆品用原料油茶籽油》第一次工作会，成立该标准的标准制定工作组，制定初步的标准编制工作计划。</w:t>
      </w:r>
    </w:p>
    <w:p w14:paraId="7F357DEF">
      <w:pPr>
        <w:pStyle w:val="3"/>
        <w:spacing w:line="360" w:lineRule="auto"/>
        <w:ind w:firstLine="416" w:firstLineChars="200"/>
        <w:jc w:val="both"/>
        <w:rPr>
          <w:rFonts w:hint="eastAsia"/>
          <w:spacing w:val="-1"/>
          <w:lang w:eastAsia="zh-CN"/>
        </w:rPr>
      </w:pPr>
      <w:r>
        <w:rPr>
          <w:spacing w:val="-1"/>
          <w:lang w:eastAsia="zh-CN"/>
        </w:rPr>
        <w:t>2024年12月完成《化妆品原料油茶籽油》初稿；2025年3月修改第二版。</w:t>
      </w:r>
    </w:p>
    <w:p w14:paraId="07148785">
      <w:pPr>
        <w:pStyle w:val="3"/>
        <w:spacing w:line="360" w:lineRule="auto"/>
        <w:ind w:firstLine="416" w:firstLineChars="200"/>
        <w:jc w:val="both"/>
        <w:rPr>
          <w:rFonts w:hint="eastAsia"/>
          <w:spacing w:val="-1"/>
          <w:lang w:eastAsia="zh-CN"/>
        </w:rPr>
      </w:pPr>
      <w:r>
        <w:rPr>
          <w:rFonts w:hint="eastAsia"/>
          <w:spacing w:val="-1"/>
          <w:lang w:eastAsia="zh-CN"/>
        </w:rPr>
        <w:t>本标准由中南林业科技大学主持起草，湖南秦湘九州生物科技股份有限公司、湖南金昌生物技术有限公司、湖南大三湘茶油股份有限公司、湖南奇异生物科技有限公司、湖南山润油茶科技发展有限公司、长沙林研科技发展有限公司、江西健达食品科技股份有限公司协作起草和复核。</w:t>
      </w:r>
    </w:p>
    <w:p w14:paraId="454F9E3A">
      <w:pPr>
        <w:pStyle w:val="3"/>
        <w:spacing w:line="360" w:lineRule="auto"/>
        <w:ind w:firstLine="416" w:firstLineChars="200"/>
        <w:jc w:val="both"/>
        <w:rPr>
          <w:rFonts w:hint="eastAsia"/>
          <w:spacing w:val="-1"/>
          <w:lang w:eastAsia="zh-CN"/>
        </w:rPr>
      </w:pPr>
      <w:r>
        <w:rPr>
          <w:rFonts w:hint="eastAsia"/>
          <w:spacing w:val="-1"/>
          <w:lang w:eastAsia="zh-CN"/>
        </w:rPr>
        <w:t>本标准在总结项目组多年科研成果和生产实践经验，以及对生产第一线实际调查的基础上，参照目前化妆品用原料的国内外相关标准要求编写而成。本标准中涉及的指标的检验方法均有相应国家、行业标准直接引用，并请湖南山水检测有限公司进行了检测，检测结果也显示指标设置具有合理性。</w:t>
      </w:r>
    </w:p>
    <w:p w14:paraId="3989E5FC">
      <w:pPr>
        <w:spacing w:line="360" w:lineRule="auto"/>
        <w:ind w:firstLine="416" w:firstLineChars="200"/>
        <w:outlineLvl w:val="1"/>
        <w:rPr>
          <w:rFonts w:hint="eastAsia" w:ascii="仿宋" w:hAnsi="仿宋" w:eastAsia="仿宋" w:cs="仿宋"/>
          <w:spacing w:val="-1"/>
          <w:lang w:eastAsia="zh-CN"/>
        </w:rPr>
      </w:pPr>
      <w:r>
        <w:rPr>
          <w:rFonts w:hint="eastAsia" w:ascii="仿宋" w:hAnsi="仿宋" w:eastAsia="仿宋" w:cs="仿宋"/>
          <w:spacing w:val="-1"/>
          <w:lang w:eastAsia="zh-CN"/>
        </w:rPr>
        <w:t>目前起草工作组确定了该标准的基本框架，包括：化妆品用原料油茶籽油的技术要求、感官、理化指标，试验方法，包装外观，净含量，检验规则，标志、包装、运输、贮存、保质期等内容。</w:t>
      </w:r>
    </w:p>
    <w:p w14:paraId="134443C7">
      <w:pPr>
        <w:spacing w:line="360" w:lineRule="auto"/>
        <w:outlineLvl w:val="1"/>
        <w:rPr>
          <w:rFonts w:hint="eastAsia" w:ascii="宋体" w:hAnsi="宋体" w:eastAsia="宋体" w:cs="宋体"/>
          <w:b/>
          <w:bCs/>
          <w:spacing w:val="-13"/>
          <w:sz w:val="24"/>
          <w:szCs w:val="24"/>
          <w:lang w:eastAsia="zh-CN"/>
        </w:rPr>
      </w:pPr>
    </w:p>
    <w:p w14:paraId="02EB0EE7">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二、与我国有关法律法规和其他标准的关系</w:t>
      </w:r>
    </w:p>
    <w:p w14:paraId="7AEF8A4D">
      <w:pPr>
        <w:pStyle w:val="3"/>
        <w:spacing w:line="360" w:lineRule="auto"/>
        <w:ind w:firstLine="416" w:firstLineChars="200"/>
        <w:jc w:val="both"/>
        <w:rPr>
          <w:rFonts w:hint="eastAsia"/>
          <w:spacing w:val="-1"/>
          <w:lang w:eastAsia="zh-CN"/>
        </w:rPr>
      </w:pPr>
      <w:r>
        <w:rPr>
          <w:spacing w:val="-1"/>
          <w:lang w:eastAsia="zh-CN"/>
        </w:rPr>
        <w:t>目前，化妆品用原料油茶籽油标准有T/ZJDAIR003-2023化妆品用原料油茶籽油（浙江省药品监督管理与产业发展研究会）；T/SHRH037-2021化妆品用原料山茶籽油（上海日用化学品行业协会）；T/SGLYCYX001-2024化妆品用原料茶油（韶关市林业产业发展协会）。</w:t>
      </w:r>
      <w:r>
        <w:rPr>
          <w:rFonts w:hint="eastAsia"/>
          <w:spacing w:val="-1"/>
          <w:lang w:eastAsia="zh-CN"/>
        </w:rPr>
        <w:t>油茶籽油国家标准有</w:t>
      </w:r>
      <w:r>
        <w:rPr>
          <w:spacing w:val="-1"/>
          <w:lang w:eastAsia="zh-CN"/>
        </w:rPr>
        <w:t>GB/T11765-2018</w:t>
      </w:r>
      <w:r>
        <w:rPr>
          <w:rFonts w:hint="eastAsia"/>
          <w:spacing w:val="-1"/>
          <w:lang w:eastAsia="zh-CN"/>
        </w:rPr>
        <w:t>油茶籽油（全国粮油标准化技术委员会）。</w:t>
      </w:r>
    </w:p>
    <w:p w14:paraId="6F1E1FC1">
      <w:pPr>
        <w:pStyle w:val="3"/>
        <w:spacing w:line="360" w:lineRule="auto"/>
        <w:ind w:firstLine="416" w:firstLineChars="200"/>
        <w:jc w:val="both"/>
        <w:rPr>
          <w:rFonts w:hint="eastAsia"/>
          <w:spacing w:val="-1"/>
          <w:lang w:eastAsia="zh-CN"/>
        </w:rPr>
      </w:pPr>
      <w:r>
        <w:rPr>
          <w:rFonts w:hint="eastAsia"/>
          <w:spacing w:val="-1"/>
          <w:lang w:eastAsia="zh-CN"/>
        </w:rPr>
        <w:t>国标与本标准的差异见下表1，团标与本标准的差异见表2。</w:t>
      </w:r>
    </w:p>
    <w:p w14:paraId="4D74A32D">
      <w:pPr>
        <w:pStyle w:val="3"/>
        <w:spacing w:line="360" w:lineRule="auto"/>
        <w:jc w:val="center"/>
        <w:rPr>
          <w:rFonts w:hint="eastAsia"/>
          <w:spacing w:val="-6"/>
          <w:lang w:eastAsia="zh-CN"/>
        </w:rPr>
      </w:pPr>
      <w:r>
        <w:rPr>
          <w:rFonts w:hint="eastAsia"/>
          <w:spacing w:val="-6"/>
          <w:lang w:eastAsia="zh-CN"/>
        </w:rPr>
        <w:t>表1.本标准与</w:t>
      </w:r>
      <w:r>
        <w:rPr>
          <w:spacing w:val="-1"/>
          <w:sz w:val="20"/>
          <w:szCs w:val="20"/>
          <w:lang w:eastAsia="zh-CN"/>
        </w:rPr>
        <w:t>GB/T11765-2018</w:t>
      </w:r>
      <w:r>
        <w:rPr>
          <w:rFonts w:hint="eastAsia"/>
          <w:spacing w:val="-6"/>
          <w:lang w:eastAsia="zh-CN"/>
        </w:rPr>
        <w:t>的差异</w:t>
      </w:r>
    </w:p>
    <w:tbl>
      <w:tblPr>
        <w:tblStyle w:val="8"/>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93"/>
        <w:gridCol w:w="1559"/>
        <w:gridCol w:w="2268"/>
        <w:gridCol w:w="2603"/>
      </w:tblGrid>
      <w:tr w14:paraId="1814EC2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bottom w:val="single" w:color="auto" w:sz="4" w:space="0"/>
            </w:tcBorders>
            <w:vAlign w:val="center"/>
          </w:tcPr>
          <w:p w14:paraId="5DFDB6D0">
            <w:pPr>
              <w:pStyle w:val="3"/>
              <w:spacing w:line="360" w:lineRule="auto"/>
              <w:jc w:val="center"/>
              <w:rPr>
                <w:rFonts w:hint="eastAsia"/>
                <w:spacing w:val="-6"/>
                <w:sz w:val="18"/>
                <w:szCs w:val="18"/>
                <w:lang w:eastAsia="zh-CN"/>
              </w:rPr>
            </w:pPr>
            <w:r>
              <w:rPr>
                <w:rFonts w:hint="eastAsia"/>
                <w:spacing w:val="-6"/>
                <w:sz w:val="18"/>
                <w:szCs w:val="18"/>
                <w:lang w:eastAsia="zh-CN"/>
              </w:rPr>
              <w:t>指标设置</w:t>
            </w:r>
          </w:p>
        </w:tc>
        <w:tc>
          <w:tcPr>
            <w:tcW w:w="1559" w:type="dxa"/>
            <w:tcBorders>
              <w:top w:val="single" w:color="auto" w:sz="4" w:space="0"/>
              <w:bottom w:val="single" w:color="auto" w:sz="4" w:space="0"/>
            </w:tcBorders>
            <w:vAlign w:val="center"/>
          </w:tcPr>
          <w:p w14:paraId="1E2450C7">
            <w:pPr>
              <w:pStyle w:val="3"/>
              <w:spacing w:line="360" w:lineRule="auto"/>
              <w:jc w:val="center"/>
              <w:rPr>
                <w:rFonts w:hint="eastAsia"/>
                <w:spacing w:val="-6"/>
                <w:sz w:val="18"/>
                <w:szCs w:val="18"/>
                <w:lang w:eastAsia="zh-CN"/>
              </w:rPr>
            </w:pPr>
            <w:r>
              <w:rPr>
                <w:rFonts w:hint="eastAsia"/>
                <w:spacing w:val="-6"/>
                <w:sz w:val="18"/>
                <w:szCs w:val="18"/>
                <w:lang w:eastAsia="zh-CN"/>
              </w:rPr>
              <w:t>国标</w:t>
            </w:r>
          </w:p>
        </w:tc>
        <w:tc>
          <w:tcPr>
            <w:tcW w:w="2268" w:type="dxa"/>
            <w:tcBorders>
              <w:top w:val="single" w:color="auto" w:sz="4" w:space="0"/>
              <w:bottom w:val="single" w:color="auto" w:sz="4" w:space="0"/>
            </w:tcBorders>
            <w:vAlign w:val="center"/>
          </w:tcPr>
          <w:p w14:paraId="0AA0E08E">
            <w:pPr>
              <w:pStyle w:val="3"/>
              <w:spacing w:line="360" w:lineRule="auto"/>
              <w:jc w:val="center"/>
              <w:rPr>
                <w:rFonts w:hint="eastAsia"/>
                <w:spacing w:val="-6"/>
                <w:sz w:val="18"/>
                <w:szCs w:val="18"/>
                <w:lang w:eastAsia="zh-CN"/>
              </w:rPr>
            </w:pPr>
            <w:r>
              <w:rPr>
                <w:rFonts w:hint="eastAsia"/>
                <w:spacing w:val="-6"/>
                <w:sz w:val="18"/>
                <w:szCs w:val="18"/>
                <w:lang w:eastAsia="zh-CN"/>
              </w:rPr>
              <w:t>本标准</w:t>
            </w:r>
          </w:p>
        </w:tc>
        <w:tc>
          <w:tcPr>
            <w:tcW w:w="2603" w:type="dxa"/>
            <w:tcBorders>
              <w:top w:val="single" w:color="auto" w:sz="4" w:space="0"/>
              <w:bottom w:val="single" w:color="auto" w:sz="4" w:space="0"/>
            </w:tcBorders>
            <w:vAlign w:val="center"/>
          </w:tcPr>
          <w:p w14:paraId="26412BC6">
            <w:pPr>
              <w:pStyle w:val="3"/>
              <w:spacing w:line="360" w:lineRule="auto"/>
              <w:jc w:val="center"/>
              <w:rPr>
                <w:rFonts w:hint="eastAsia"/>
                <w:spacing w:val="-6"/>
                <w:sz w:val="18"/>
                <w:szCs w:val="18"/>
                <w:lang w:eastAsia="zh-CN"/>
              </w:rPr>
            </w:pPr>
            <w:r>
              <w:rPr>
                <w:rFonts w:hint="eastAsia"/>
                <w:spacing w:val="-6"/>
                <w:sz w:val="18"/>
                <w:szCs w:val="18"/>
                <w:lang w:eastAsia="zh-CN"/>
              </w:rPr>
              <w:t>差异性原因</w:t>
            </w:r>
          </w:p>
        </w:tc>
      </w:tr>
      <w:tr w14:paraId="17AC061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tcBorders>
            <w:vAlign w:val="center"/>
          </w:tcPr>
          <w:p w14:paraId="538FC54A">
            <w:pPr>
              <w:pStyle w:val="3"/>
              <w:spacing w:line="360" w:lineRule="auto"/>
              <w:jc w:val="center"/>
              <w:rPr>
                <w:rFonts w:hint="eastAsia"/>
                <w:spacing w:val="-6"/>
                <w:sz w:val="18"/>
                <w:szCs w:val="18"/>
                <w:lang w:eastAsia="zh-CN"/>
              </w:rPr>
            </w:pPr>
            <w:r>
              <w:rPr>
                <w:rFonts w:hint="eastAsia"/>
                <w:spacing w:val="-6"/>
                <w:sz w:val="18"/>
                <w:szCs w:val="18"/>
                <w:lang w:eastAsia="zh-CN"/>
              </w:rPr>
              <w:t>折光率（n25）</w:t>
            </w:r>
          </w:p>
        </w:tc>
        <w:tc>
          <w:tcPr>
            <w:tcW w:w="1559" w:type="dxa"/>
            <w:tcBorders>
              <w:top w:val="single" w:color="auto" w:sz="4" w:space="0"/>
            </w:tcBorders>
            <w:vAlign w:val="center"/>
          </w:tcPr>
          <w:p w14:paraId="3950BB3D">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tcBorders>
              <w:top w:val="single" w:color="auto" w:sz="4" w:space="0"/>
            </w:tcBorders>
            <w:vAlign w:val="center"/>
          </w:tcPr>
          <w:p w14:paraId="67CD74A9">
            <w:pPr>
              <w:pStyle w:val="3"/>
              <w:spacing w:line="360" w:lineRule="auto"/>
              <w:jc w:val="center"/>
              <w:rPr>
                <w:rFonts w:hint="eastAsia"/>
                <w:spacing w:val="-6"/>
                <w:sz w:val="18"/>
                <w:szCs w:val="18"/>
                <w:lang w:eastAsia="zh-CN"/>
              </w:rPr>
            </w:pPr>
            <w:r>
              <w:rPr>
                <w:rFonts w:hint="eastAsia"/>
                <w:spacing w:val="-6"/>
                <w:sz w:val="18"/>
                <w:szCs w:val="18"/>
                <w:lang w:eastAsia="zh-CN"/>
              </w:rPr>
              <w:t>1.467-1.472</w:t>
            </w:r>
          </w:p>
        </w:tc>
        <w:tc>
          <w:tcPr>
            <w:tcW w:w="2603" w:type="dxa"/>
            <w:tcBorders>
              <w:top w:val="single" w:color="auto" w:sz="4" w:space="0"/>
            </w:tcBorders>
            <w:vAlign w:val="center"/>
          </w:tcPr>
          <w:p w14:paraId="10763201">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6B8F31B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45F33F0B">
            <w:pPr>
              <w:pStyle w:val="3"/>
              <w:spacing w:line="360" w:lineRule="auto"/>
              <w:jc w:val="center"/>
              <w:rPr>
                <w:rFonts w:hint="eastAsia"/>
                <w:spacing w:val="-6"/>
                <w:sz w:val="18"/>
                <w:szCs w:val="18"/>
                <w:lang w:eastAsia="zh-CN"/>
              </w:rPr>
            </w:pPr>
            <w:r>
              <w:rPr>
                <w:rFonts w:hint="eastAsia"/>
                <w:spacing w:val="-6"/>
                <w:sz w:val="18"/>
                <w:szCs w:val="18"/>
                <w:lang w:eastAsia="zh-CN"/>
              </w:rPr>
              <w:t>碘值（I）（g/100g）</w:t>
            </w:r>
          </w:p>
        </w:tc>
        <w:tc>
          <w:tcPr>
            <w:tcW w:w="1559" w:type="dxa"/>
            <w:vAlign w:val="center"/>
          </w:tcPr>
          <w:p w14:paraId="77F6DB3A">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49BA5B69">
            <w:pPr>
              <w:pStyle w:val="3"/>
              <w:spacing w:line="360" w:lineRule="auto"/>
              <w:jc w:val="center"/>
              <w:rPr>
                <w:rFonts w:hint="eastAsia"/>
                <w:spacing w:val="-6"/>
                <w:sz w:val="18"/>
                <w:szCs w:val="18"/>
                <w:lang w:eastAsia="zh-CN"/>
              </w:rPr>
            </w:pPr>
            <w:r>
              <w:rPr>
                <w:rFonts w:hint="eastAsia"/>
                <w:spacing w:val="-6"/>
                <w:sz w:val="18"/>
                <w:szCs w:val="18"/>
                <w:lang w:eastAsia="zh-CN"/>
              </w:rPr>
              <w:t>80-88</w:t>
            </w:r>
          </w:p>
        </w:tc>
        <w:tc>
          <w:tcPr>
            <w:tcW w:w="2603" w:type="dxa"/>
            <w:vAlign w:val="center"/>
          </w:tcPr>
          <w:p w14:paraId="19699CB0">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32732F7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18D6EE7D">
            <w:pPr>
              <w:pStyle w:val="3"/>
              <w:spacing w:line="360" w:lineRule="auto"/>
              <w:jc w:val="center"/>
              <w:rPr>
                <w:rFonts w:hint="eastAsia"/>
                <w:spacing w:val="-6"/>
                <w:sz w:val="18"/>
                <w:szCs w:val="18"/>
                <w:lang w:eastAsia="zh-CN"/>
              </w:rPr>
            </w:pPr>
            <w:r>
              <w:rPr>
                <w:rFonts w:hint="eastAsia"/>
                <w:spacing w:val="-6"/>
                <w:sz w:val="18"/>
                <w:szCs w:val="18"/>
                <w:lang w:eastAsia="zh-CN"/>
              </w:rPr>
              <w:t>皂化值（KOH）（mg/g）</w:t>
            </w:r>
          </w:p>
        </w:tc>
        <w:tc>
          <w:tcPr>
            <w:tcW w:w="1559" w:type="dxa"/>
            <w:vAlign w:val="center"/>
          </w:tcPr>
          <w:p w14:paraId="19DE01F0">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60917E47">
            <w:pPr>
              <w:pStyle w:val="3"/>
              <w:spacing w:line="360" w:lineRule="auto"/>
              <w:jc w:val="center"/>
              <w:rPr>
                <w:rFonts w:hint="eastAsia"/>
                <w:spacing w:val="-6"/>
                <w:sz w:val="18"/>
                <w:szCs w:val="18"/>
                <w:lang w:eastAsia="zh-CN"/>
              </w:rPr>
            </w:pPr>
            <w:r>
              <w:rPr>
                <w:rFonts w:hint="eastAsia"/>
                <w:spacing w:val="-6"/>
                <w:sz w:val="18"/>
                <w:szCs w:val="18"/>
                <w:lang w:eastAsia="zh-CN"/>
              </w:rPr>
              <w:t>186-196</w:t>
            </w:r>
          </w:p>
        </w:tc>
        <w:tc>
          <w:tcPr>
            <w:tcW w:w="2603" w:type="dxa"/>
            <w:vAlign w:val="center"/>
          </w:tcPr>
          <w:p w14:paraId="44C4DB1A">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335544E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2093" w:type="dxa"/>
            <w:vAlign w:val="center"/>
          </w:tcPr>
          <w:p w14:paraId="6233598A">
            <w:pPr>
              <w:pStyle w:val="3"/>
              <w:spacing w:line="360" w:lineRule="auto"/>
              <w:jc w:val="center"/>
              <w:rPr>
                <w:rFonts w:hint="eastAsia"/>
                <w:spacing w:val="-6"/>
                <w:sz w:val="18"/>
                <w:szCs w:val="18"/>
                <w:lang w:eastAsia="zh-CN"/>
              </w:rPr>
            </w:pPr>
            <w:r>
              <w:rPr>
                <w:rFonts w:hint="eastAsia"/>
                <w:spacing w:val="-6"/>
                <w:sz w:val="18"/>
                <w:szCs w:val="18"/>
                <w:lang w:eastAsia="zh-CN"/>
              </w:rPr>
              <w:t>外观</w:t>
            </w:r>
          </w:p>
        </w:tc>
        <w:tc>
          <w:tcPr>
            <w:tcW w:w="1559" w:type="dxa"/>
            <w:vAlign w:val="center"/>
          </w:tcPr>
          <w:p w14:paraId="34FCDB1F">
            <w:pPr>
              <w:pStyle w:val="3"/>
              <w:spacing w:line="360" w:lineRule="auto"/>
              <w:jc w:val="center"/>
              <w:rPr>
                <w:rFonts w:hint="eastAsia"/>
                <w:spacing w:val="-6"/>
                <w:sz w:val="18"/>
                <w:szCs w:val="18"/>
                <w:lang w:eastAsia="zh-CN"/>
              </w:rPr>
            </w:pPr>
            <w:r>
              <w:rPr>
                <w:rFonts w:hint="eastAsia"/>
                <w:spacing w:val="-6"/>
                <w:sz w:val="18"/>
                <w:szCs w:val="18"/>
                <w:lang w:eastAsia="zh-CN"/>
              </w:rPr>
              <w:t>淡黄色至橙黄色</w:t>
            </w:r>
          </w:p>
          <w:p w14:paraId="66374962">
            <w:pPr>
              <w:pStyle w:val="3"/>
              <w:spacing w:line="360" w:lineRule="auto"/>
              <w:jc w:val="center"/>
              <w:rPr>
                <w:rFonts w:hint="eastAsia"/>
                <w:spacing w:val="-6"/>
                <w:sz w:val="18"/>
                <w:szCs w:val="18"/>
                <w:lang w:eastAsia="zh-CN"/>
              </w:rPr>
            </w:pPr>
            <w:r>
              <w:rPr>
                <w:rFonts w:hint="eastAsia"/>
                <w:spacing w:val="-6"/>
                <w:sz w:val="18"/>
                <w:szCs w:val="18"/>
                <w:lang w:eastAsia="zh-CN"/>
              </w:rPr>
              <w:t>/淡黄色至棕黄色</w:t>
            </w:r>
          </w:p>
        </w:tc>
        <w:tc>
          <w:tcPr>
            <w:tcW w:w="2268" w:type="dxa"/>
            <w:vAlign w:val="center"/>
          </w:tcPr>
          <w:p w14:paraId="67AFFA74">
            <w:pPr>
              <w:pStyle w:val="3"/>
              <w:spacing w:line="360" w:lineRule="auto"/>
              <w:jc w:val="center"/>
              <w:rPr>
                <w:rFonts w:hint="eastAsia"/>
                <w:spacing w:val="-6"/>
                <w:sz w:val="18"/>
                <w:szCs w:val="18"/>
                <w:lang w:eastAsia="zh-CN"/>
              </w:rPr>
            </w:pPr>
            <w:r>
              <w:rPr>
                <w:rFonts w:hint="eastAsia"/>
                <w:spacing w:val="-6"/>
                <w:sz w:val="18"/>
                <w:szCs w:val="18"/>
                <w:lang w:eastAsia="zh-CN"/>
              </w:rPr>
              <w:t>淡黄色至金黄色油状液体</w:t>
            </w:r>
          </w:p>
          <w:p w14:paraId="3359858B">
            <w:pPr>
              <w:pStyle w:val="3"/>
              <w:spacing w:line="360" w:lineRule="auto"/>
              <w:jc w:val="center"/>
              <w:rPr>
                <w:rFonts w:hint="eastAsia"/>
                <w:spacing w:val="-6"/>
                <w:sz w:val="18"/>
                <w:szCs w:val="18"/>
                <w:lang w:eastAsia="zh-CN"/>
              </w:rPr>
            </w:pPr>
            <w:r>
              <w:rPr>
                <w:rFonts w:hint="eastAsia"/>
                <w:spacing w:val="-6"/>
                <w:sz w:val="18"/>
                <w:szCs w:val="18"/>
                <w:lang w:eastAsia="zh-CN"/>
              </w:rPr>
              <w:t>/无色至微黄色油状液体</w:t>
            </w:r>
          </w:p>
        </w:tc>
        <w:tc>
          <w:tcPr>
            <w:tcW w:w="2603" w:type="dxa"/>
            <w:vAlign w:val="center"/>
          </w:tcPr>
          <w:p w14:paraId="45EDDE0C">
            <w:pPr>
              <w:pStyle w:val="3"/>
              <w:spacing w:line="360" w:lineRule="auto"/>
              <w:jc w:val="center"/>
              <w:rPr>
                <w:rFonts w:hint="eastAsia"/>
                <w:spacing w:val="-6"/>
                <w:sz w:val="18"/>
                <w:szCs w:val="18"/>
                <w:lang w:eastAsia="zh-CN"/>
              </w:rPr>
            </w:pPr>
            <w:r>
              <w:rPr>
                <w:rFonts w:hint="eastAsia"/>
                <w:spacing w:val="-6"/>
                <w:sz w:val="18"/>
                <w:szCs w:val="18"/>
                <w:lang w:eastAsia="zh-CN"/>
              </w:rPr>
              <w:t>化妆品用原料外观需求不同</w:t>
            </w:r>
          </w:p>
        </w:tc>
      </w:tr>
      <w:tr w14:paraId="04A6C98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3FE438F1">
            <w:pPr>
              <w:pStyle w:val="3"/>
              <w:spacing w:line="360" w:lineRule="auto"/>
              <w:jc w:val="center"/>
              <w:rPr>
                <w:rFonts w:hint="eastAsia"/>
                <w:spacing w:val="-6"/>
                <w:sz w:val="18"/>
                <w:szCs w:val="18"/>
                <w:lang w:eastAsia="zh-CN"/>
              </w:rPr>
            </w:pPr>
            <w:r>
              <w:rPr>
                <w:rFonts w:hint="eastAsia"/>
                <w:spacing w:val="-6"/>
                <w:sz w:val="18"/>
                <w:szCs w:val="18"/>
                <w:lang w:eastAsia="zh-CN"/>
              </w:rPr>
              <w:t>水分及挥发物含量（</w:t>
            </w:r>
            <w:r>
              <w:rPr>
                <w:spacing w:val="-6"/>
                <w:sz w:val="18"/>
                <w:szCs w:val="18"/>
                <w:lang w:eastAsia="zh-CN"/>
              </w:rPr>
              <w:t>%</w:t>
            </w:r>
            <w:r>
              <w:rPr>
                <w:rFonts w:hint="eastAsia"/>
                <w:spacing w:val="-6"/>
                <w:sz w:val="18"/>
                <w:szCs w:val="18"/>
                <w:lang w:eastAsia="zh-CN"/>
              </w:rPr>
              <w:t>）</w:t>
            </w:r>
          </w:p>
        </w:tc>
        <w:tc>
          <w:tcPr>
            <w:tcW w:w="1559" w:type="dxa"/>
            <w:vAlign w:val="center"/>
          </w:tcPr>
          <w:p w14:paraId="21CF547D">
            <w:pPr>
              <w:pStyle w:val="3"/>
              <w:spacing w:line="360" w:lineRule="auto"/>
              <w:jc w:val="center"/>
              <w:rPr>
                <w:rFonts w:hint="eastAsia"/>
                <w:spacing w:val="-6"/>
                <w:sz w:val="18"/>
                <w:szCs w:val="18"/>
                <w:lang w:eastAsia="zh-CN"/>
              </w:rPr>
            </w:pPr>
            <w:r>
              <w:rPr>
                <w:rFonts w:hint="eastAsia"/>
                <w:spacing w:val="-6"/>
                <w:sz w:val="18"/>
                <w:szCs w:val="18"/>
                <w:lang w:eastAsia="zh-CN"/>
              </w:rPr>
              <w:t>≤0.10/≤</w:t>
            </w:r>
            <w:r>
              <w:rPr>
                <w:spacing w:val="-6"/>
                <w:sz w:val="18"/>
                <w:szCs w:val="18"/>
                <w:lang w:eastAsia="zh-CN"/>
              </w:rPr>
              <w:t>0.20</w:t>
            </w:r>
          </w:p>
        </w:tc>
        <w:tc>
          <w:tcPr>
            <w:tcW w:w="2268" w:type="dxa"/>
            <w:vAlign w:val="center"/>
          </w:tcPr>
          <w:p w14:paraId="42D7DCD0">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46369139">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274C013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25FD13BC">
            <w:pPr>
              <w:pStyle w:val="3"/>
              <w:spacing w:line="360" w:lineRule="auto"/>
              <w:jc w:val="center"/>
              <w:rPr>
                <w:rFonts w:hint="eastAsia"/>
                <w:spacing w:val="-6"/>
                <w:sz w:val="18"/>
                <w:szCs w:val="18"/>
                <w:lang w:eastAsia="zh-CN"/>
              </w:rPr>
            </w:pPr>
            <w:r>
              <w:rPr>
                <w:rFonts w:hint="eastAsia"/>
                <w:spacing w:val="-6"/>
                <w:sz w:val="18"/>
                <w:szCs w:val="18"/>
                <w:lang w:eastAsia="zh-CN"/>
              </w:rPr>
              <w:t>不溶性杂质含量（</w:t>
            </w:r>
            <w:r>
              <w:rPr>
                <w:spacing w:val="-6"/>
                <w:sz w:val="18"/>
                <w:szCs w:val="18"/>
                <w:lang w:eastAsia="zh-CN"/>
              </w:rPr>
              <w:t>%</w:t>
            </w:r>
            <w:r>
              <w:rPr>
                <w:rFonts w:hint="eastAsia"/>
                <w:spacing w:val="-6"/>
                <w:sz w:val="18"/>
                <w:szCs w:val="18"/>
                <w:lang w:eastAsia="zh-CN"/>
              </w:rPr>
              <w:t>）</w:t>
            </w:r>
          </w:p>
        </w:tc>
        <w:tc>
          <w:tcPr>
            <w:tcW w:w="1559" w:type="dxa"/>
            <w:vAlign w:val="center"/>
          </w:tcPr>
          <w:p w14:paraId="1FA4D58D">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w:t>
            </w:r>
            <w:r>
              <w:rPr>
                <w:rFonts w:hint="eastAsia"/>
                <w:spacing w:val="-6"/>
                <w:sz w:val="18"/>
                <w:szCs w:val="18"/>
                <w:lang w:eastAsia="zh-CN"/>
              </w:rPr>
              <w:t>05</w:t>
            </w:r>
          </w:p>
        </w:tc>
        <w:tc>
          <w:tcPr>
            <w:tcW w:w="2268" w:type="dxa"/>
            <w:vAlign w:val="center"/>
          </w:tcPr>
          <w:p w14:paraId="7010EA9E">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6AFDC407">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60545F1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09B0D237">
            <w:pPr>
              <w:pStyle w:val="3"/>
              <w:spacing w:line="360" w:lineRule="auto"/>
              <w:jc w:val="center"/>
              <w:rPr>
                <w:rFonts w:hint="eastAsia"/>
                <w:spacing w:val="-6"/>
                <w:sz w:val="18"/>
                <w:szCs w:val="18"/>
                <w:lang w:eastAsia="zh-CN"/>
              </w:rPr>
            </w:pPr>
            <w:r>
              <w:rPr>
                <w:rFonts w:hint="eastAsia"/>
                <w:spacing w:val="-6"/>
                <w:sz w:val="18"/>
                <w:szCs w:val="18"/>
                <w:lang w:eastAsia="zh-CN"/>
              </w:rPr>
              <w:t>生育酚（mg/kg）</w:t>
            </w:r>
          </w:p>
        </w:tc>
        <w:tc>
          <w:tcPr>
            <w:tcW w:w="1559" w:type="dxa"/>
            <w:vAlign w:val="center"/>
          </w:tcPr>
          <w:p w14:paraId="583D1802">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2453141A">
            <w:pPr>
              <w:pStyle w:val="3"/>
              <w:spacing w:line="360" w:lineRule="auto"/>
              <w:jc w:val="center"/>
              <w:rPr>
                <w:rFonts w:hint="eastAsia"/>
                <w:spacing w:val="-6"/>
                <w:sz w:val="18"/>
                <w:szCs w:val="18"/>
                <w:lang w:eastAsia="zh-CN"/>
              </w:rPr>
            </w:pPr>
            <w:r>
              <w:rPr>
                <w:rFonts w:hint="eastAsia"/>
                <w:spacing w:val="-6"/>
                <w:sz w:val="18"/>
                <w:szCs w:val="18"/>
                <w:lang w:eastAsia="zh-CN"/>
              </w:rPr>
              <w:t>≥3</w:t>
            </w:r>
            <w:r>
              <w:rPr>
                <w:spacing w:val="-6"/>
                <w:sz w:val="18"/>
                <w:szCs w:val="18"/>
                <w:lang w:eastAsia="zh-CN"/>
              </w:rPr>
              <w:t>0</w:t>
            </w:r>
          </w:p>
        </w:tc>
        <w:tc>
          <w:tcPr>
            <w:tcW w:w="2603" w:type="dxa"/>
            <w:vAlign w:val="center"/>
          </w:tcPr>
          <w:p w14:paraId="657252DF">
            <w:pPr>
              <w:pStyle w:val="3"/>
              <w:spacing w:line="360" w:lineRule="auto"/>
              <w:jc w:val="center"/>
              <w:rPr>
                <w:rFonts w:hint="eastAsia"/>
                <w:spacing w:val="-6"/>
                <w:sz w:val="18"/>
                <w:szCs w:val="18"/>
                <w:lang w:eastAsia="zh-CN"/>
              </w:rPr>
            </w:pPr>
            <w:r>
              <w:rPr>
                <w:rFonts w:hint="eastAsia"/>
                <w:spacing w:val="-6"/>
                <w:sz w:val="18"/>
                <w:szCs w:val="18"/>
                <w:lang w:eastAsia="zh-CN"/>
              </w:rPr>
              <w:t>油茶籽油中主要化妆品功效成分</w:t>
            </w:r>
          </w:p>
        </w:tc>
      </w:tr>
      <w:tr w14:paraId="7C95283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48C4A3D3">
            <w:pPr>
              <w:pStyle w:val="3"/>
              <w:spacing w:line="360" w:lineRule="auto"/>
              <w:jc w:val="center"/>
              <w:rPr>
                <w:rFonts w:hint="eastAsia"/>
                <w:spacing w:val="-6"/>
                <w:sz w:val="18"/>
                <w:szCs w:val="18"/>
                <w:lang w:eastAsia="zh-CN"/>
              </w:rPr>
            </w:pPr>
            <w:r>
              <w:rPr>
                <w:rFonts w:hint="eastAsia"/>
                <w:spacing w:val="-6"/>
                <w:sz w:val="18"/>
                <w:szCs w:val="18"/>
                <w:lang w:eastAsia="zh-CN"/>
              </w:rPr>
              <w:t>角鲨烯（mg/kg）</w:t>
            </w:r>
          </w:p>
        </w:tc>
        <w:tc>
          <w:tcPr>
            <w:tcW w:w="1559" w:type="dxa"/>
            <w:vAlign w:val="center"/>
          </w:tcPr>
          <w:p w14:paraId="39B658E2">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664952A7">
            <w:pPr>
              <w:pStyle w:val="3"/>
              <w:spacing w:line="360" w:lineRule="auto"/>
              <w:jc w:val="center"/>
              <w:rPr>
                <w:rFonts w:hint="eastAsia"/>
                <w:spacing w:val="-6"/>
                <w:sz w:val="18"/>
                <w:szCs w:val="18"/>
                <w:lang w:eastAsia="zh-CN"/>
              </w:rPr>
            </w:pPr>
            <w:r>
              <w:rPr>
                <w:rFonts w:hint="eastAsia"/>
                <w:spacing w:val="-6"/>
                <w:sz w:val="18"/>
                <w:szCs w:val="18"/>
                <w:lang w:eastAsia="zh-CN"/>
              </w:rPr>
              <w:t>≥2</w:t>
            </w:r>
            <w:r>
              <w:rPr>
                <w:spacing w:val="-6"/>
                <w:sz w:val="18"/>
                <w:szCs w:val="18"/>
                <w:lang w:eastAsia="zh-CN"/>
              </w:rPr>
              <w:t>0</w:t>
            </w:r>
          </w:p>
        </w:tc>
        <w:tc>
          <w:tcPr>
            <w:tcW w:w="2603" w:type="dxa"/>
            <w:vAlign w:val="center"/>
          </w:tcPr>
          <w:p w14:paraId="5EEA69C6">
            <w:pPr>
              <w:pStyle w:val="3"/>
              <w:spacing w:line="360" w:lineRule="auto"/>
              <w:jc w:val="center"/>
              <w:rPr>
                <w:rFonts w:hint="eastAsia"/>
                <w:spacing w:val="-6"/>
                <w:sz w:val="18"/>
                <w:szCs w:val="18"/>
                <w:lang w:eastAsia="zh-CN"/>
              </w:rPr>
            </w:pPr>
            <w:r>
              <w:rPr>
                <w:rFonts w:hint="eastAsia"/>
                <w:spacing w:val="-6"/>
                <w:sz w:val="18"/>
                <w:szCs w:val="18"/>
                <w:lang w:eastAsia="zh-CN"/>
              </w:rPr>
              <w:t>油茶籽油中主要化妆品功效成分</w:t>
            </w:r>
          </w:p>
        </w:tc>
      </w:tr>
    </w:tbl>
    <w:p w14:paraId="1674E435">
      <w:pPr>
        <w:pStyle w:val="3"/>
        <w:spacing w:line="360" w:lineRule="auto"/>
        <w:jc w:val="center"/>
        <w:rPr>
          <w:rFonts w:hint="eastAsia"/>
          <w:spacing w:val="-6"/>
          <w:lang w:eastAsia="zh-CN"/>
        </w:rPr>
      </w:pPr>
    </w:p>
    <w:p w14:paraId="1143D9FD">
      <w:pPr>
        <w:pStyle w:val="3"/>
        <w:spacing w:line="360" w:lineRule="auto"/>
        <w:jc w:val="center"/>
        <w:rPr>
          <w:rFonts w:hint="eastAsia"/>
          <w:spacing w:val="-6"/>
          <w:lang w:eastAsia="zh-CN"/>
        </w:rPr>
      </w:pPr>
      <w:r>
        <w:rPr>
          <w:rFonts w:hint="eastAsia"/>
          <w:spacing w:val="-6"/>
          <w:lang w:eastAsia="zh-CN"/>
        </w:rPr>
        <w:t>表2.本标准与</w:t>
      </w:r>
      <w:r>
        <w:rPr>
          <w:spacing w:val="-1"/>
          <w:sz w:val="20"/>
          <w:szCs w:val="20"/>
          <w:lang w:eastAsia="zh-CN"/>
        </w:rPr>
        <w:t>T/ZJDAIR</w:t>
      </w:r>
      <w:r>
        <w:rPr>
          <w:rFonts w:hint="eastAsia"/>
          <w:spacing w:val="-1"/>
          <w:sz w:val="20"/>
          <w:szCs w:val="20"/>
          <w:lang w:eastAsia="zh-CN"/>
        </w:rPr>
        <w:t xml:space="preserve"> </w:t>
      </w:r>
      <w:r>
        <w:rPr>
          <w:spacing w:val="-1"/>
          <w:sz w:val="20"/>
          <w:szCs w:val="20"/>
          <w:lang w:eastAsia="zh-CN"/>
        </w:rPr>
        <w:t>003-2023</w:t>
      </w:r>
      <w:r>
        <w:rPr>
          <w:rFonts w:hint="eastAsia"/>
          <w:spacing w:val="-6"/>
          <w:lang w:eastAsia="zh-CN"/>
        </w:rPr>
        <w:t>的差异</w:t>
      </w:r>
    </w:p>
    <w:tbl>
      <w:tblPr>
        <w:tblStyle w:val="8"/>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93"/>
        <w:gridCol w:w="1559"/>
        <w:gridCol w:w="2268"/>
        <w:gridCol w:w="2603"/>
      </w:tblGrid>
      <w:tr w14:paraId="4D6DD33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bottom w:val="single" w:color="auto" w:sz="4" w:space="0"/>
            </w:tcBorders>
            <w:vAlign w:val="center"/>
          </w:tcPr>
          <w:p w14:paraId="740FF126">
            <w:pPr>
              <w:pStyle w:val="3"/>
              <w:spacing w:line="360" w:lineRule="auto"/>
              <w:jc w:val="center"/>
              <w:rPr>
                <w:rFonts w:hint="eastAsia"/>
                <w:spacing w:val="-6"/>
                <w:sz w:val="18"/>
                <w:szCs w:val="18"/>
                <w:lang w:eastAsia="zh-CN"/>
              </w:rPr>
            </w:pPr>
            <w:r>
              <w:rPr>
                <w:rFonts w:hint="eastAsia"/>
                <w:spacing w:val="-6"/>
                <w:sz w:val="18"/>
                <w:szCs w:val="18"/>
                <w:lang w:eastAsia="zh-CN"/>
              </w:rPr>
              <w:t>指标设置</w:t>
            </w:r>
          </w:p>
        </w:tc>
        <w:tc>
          <w:tcPr>
            <w:tcW w:w="1559" w:type="dxa"/>
            <w:tcBorders>
              <w:top w:val="single" w:color="auto" w:sz="4" w:space="0"/>
              <w:bottom w:val="single" w:color="auto" w:sz="4" w:space="0"/>
            </w:tcBorders>
            <w:vAlign w:val="center"/>
          </w:tcPr>
          <w:p w14:paraId="1E65CAD0">
            <w:pPr>
              <w:pStyle w:val="3"/>
              <w:spacing w:line="360" w:lineRule="auto"/>
              <w:jc w:val="center"/>
              <w:rPr>
                <w:rFonts w:hint="eastAsia"/>
                <w:spacing w:val="-6"/>
                <w:sz w:val="18"/>
                <w:szCs w:val="18"/>
                <w:lang w:eastAsia="zh-CN"/>
              </w:rPr>
            </w:pPr>
            <w:r>
              <w:rPr>
                <w:rFonts w:hint="eastAsia"/>
                <w:spacing w:val="-6"/>
                <w:sz w:val="18"/>
                <w:szCs w:val="18"/>
                <w:lang w:eastAsia="zh-CN"/>
              </w:rPr>
              <w:t>团标</w:t>
            </w:r>
          </w:p>
        </w:tc>
        <w:tc>
          <w:tcPr>
            <w:tcW w:w="2268" w:type="dxa"/>
            <w:tcBorders>
              <w:top w:val="single" w:color="auto" w:sz="4" w:space="0"/>
              <w:bottom w:val="single" w:color="auto" w:sz="4" w:space="0"/>
            </w:tcBorders>
            <w:vAlign w:val="center"/>
          </w:tcPr>
          <w:p w14:paraId="77E3E2FE">
            <w:pPr>
              <w:pStyle w:val="3"/>
              <w:spacing w:line="360" w:lineRule="auto"/>
              <w:jc w:val="center"/>
              <w:rPr>
                <w:rFonts w:hint="eastAsia"/>
                <w:spacing w:val="-6"/>
                <w:sz w:val="18"/>
                <w:szCs w:val="18"/>
                <w:lang w:eastAsia="zh-CN"/>
              </w:rPr>
            </w:pPr>
            <w:r>
              <w:rPr>
                <w:rFonts w:hint="eastAsia"/>
                <w:spacing w:val="-6"/>
                <w:sz w:val="18"/>
                <w:szCs w:val="18"/>
                <w:lang w:eastAsia="zh-CN"/>
              </w:rPr>
              <w:t>本标准</w:t>
            </w:r>
          </w:p>
        </w:tc>
        <w:tc>
          <w:tcPr>
            <w:tcW w:w="2603" w:type="dxa"/>
            <w:tcBorders>
              <w:top w:val="single" w:color="auto" w:sz="4" w:space="0"/>
              <w:bottom w:val="single" w:color="auto" w:sz="4" w:space="0"/>
            </w:tcBorders>
            <w:vAlign w:val="center"/>
          </w:tcPr>
          <w:p w14:paraId="72D82EB4">
            <w:pPr>
              <w:pStyle w:val="3"/>
              <w:spacing w:line="360" w:lineRule="auto"/>
              <w:jc w:val="center"/>
              <w:rPr>
                <w:rFonts w:hint="eastAsia"/>
                <w:spacing w:val="-6"/>
                <w:sz w:val="18"/>
                <w:szCs w:val="18"/>
                <w:lang w:eastAsia="zh-CN"/>
              </w:rPr>
            </w:pPr>
            <w:r>
              <w:rPr>
                <w:rFonts w:hint="eastAsia"/>
                <w:spacing w:val="-6"/>
                <w:sz w:val="18"/>
                <w:szCs w:val="18"/>
                <w:lang w:eastAsia="zh-CN"/>
              </w:rPr>
              <w:t>差异性原因</w:t>
            </w:r>
          </w:p>
        </w:tc>
      </w:tr>
      <w:tr w14:paraId="77D9E30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tcBorders>
            <w:vAlign w:val="center"/>
          </w:tcPr>
          <w:p w14:paraId="707DF407">
            <w:pPr>
              <w:pStyle w:val="3"/>
              <w:spacing w:line="360" w:lineRule="auto"/>
              <w:jc w:val="center"/>
              <w:rPr>
                <w:rFonts w:hint="eastAsia"/>
                <w:spacing w:val="-6"/>
                <w:sz w:val="18"/>
                <w:szCs w:val="18"/>
                <w:lang w:eastAsia="zh-CN"/>
              </w:rPr>
            </w:pPr>
            <w:r>
              <w:rPr>
                <w:rFonts w:hint="eastAsia"/>
                <w:spacing w:val="-6"/>
                <w:sz w:val="18"/>
                <w:szCs w:val="18"/>
                <w:lang w:eastAsia="zh-CN"/>
              </w:rPr>
              <w:t>折光率（n25）</w:t>
            </w:r>
          </w:p>
        </w:tc>
        <w:tc>
          <w:tcPr>
            <w:tcW w:w="1559" w:type="dxa"/>
            <w:tcBorders>
              <w:top w:val="single" w:color="auto" w:sz="4" w:space="0"/>
            </w:tcBorders>
            <w:vAlign w:val="center"/>
          </w:tcPr>
          <w:p w14:paraId="5C7441F6">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tcBorders>
              <w:top w:val="single" w:color="auto" w:sz="4" w:space="0"/>
            </w:tcBorders>
            <w:vAlign w:val="center"/>
          </w:tcPr>
          <w:p w14:paraId="39C93689">
            <w:pPr>
              <w:pStyle w:val="3"/>
              <w:spacing w:line="360" w:lineRule="auto"/>
              <w:jc w:val="center"/>
              <w:rPr>
                <w:rFonts w:hint="eastAsia"/>
                <w:spacing w:val="-6"/>
                <w:sz w:val="18"/>
                <w:szCs w:val="18"/>
                <w:lang w:eastAsia="zh-CN"/>
              </w:rPr>
            </w:pPr>
            <w:r>
              <w:rPr>
                <w:rFonts w:hint="eastAsia"/>
                <w:spacing w:val="-6"/>
                <w:sz w:val="18"/>
                <w:szCs w:val="18"/>
                <w:lang w:eastAsia="zh-CN"/>
              </w:rPr>
              <w:t>1.467-1.472</w:t>
            </w:r>
          </w:p>
        </w:tc>
        <w:tc>
          <w:tcPr>
            <w:tcW w:w="2603" w:type="dxa"/>
            <w:tcBorders>
              <w:top w:val="single" w:color="auto" w:sz="4" w:space="0"/>
            </w:tcBorders>
            <w:vAlign w:val="center"/>
          </w:tcPr>
          <w:p w14:paraId="034D1B9F">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54408FD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107B7AA9">
            <w:pPr>
              <w:pStyle w:val="3"/>
              <w:spacing w:line="360" w:lineRule="auto"/>
              <w:jc w:val="center"/>
              <w:rPr>
                <w:rFonts w:hint="eastAsia"/>
                <w:spacing w:val="-6"/>
                <w:sz w:val="18"/>
                <w:szCs w:val="18"/>
                <w:lang w:eastAsia="zh-CN"/>
              </w:rPr>
            </w:pPr>
            <w:r>
              <w:rPr>
                <w:rFonts w:hint="eastAsia"/>
                <w:spacing w:val="-6"/>
                <w:sz w:val="18"/>
                <w:szCs w:val="18"/>
                <w:lang w:eastAsia="zh-CN"/>
              </w:rPr>
              <w:t>碘值（I）（g/100g）</w:t>
            </w:r>
          </w:p>
        </w:tc>
        <w:tc>
          <w:tcPr>
            <w:tcW w:w="1559" w:type="dxa"/>
            <w:vAlign w:val="center"/>
          </w:tcPr>
          <w:p w14:paraId="7C3CCD2C">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0D57A2F7">
            <w:pPr>
              <w:pStyle w:val="3"/>
              <w:spacing w:line="360" w:lineRule="auto"/>
              <w:jc w:val="center"/>
              <w:rPr>
                <w:rFonts w:hint="eastAsia"/>
                <w:spacing w:val="-6"/>
                <w:sz w:val="18"/>
                <w:szCs w:val="18"/>
                <w:lang w:eastAsia="zh-CN"/>
              </w:rPr>
            </w:pPr>
            <w:r>
              <w:rPr>
                <w:rFonts w:hint="eastAsia"/>
                <w:spacing w:val="-6"/>
                <w:sz w:val="18"/>
                <w:szCs w:val="18"/>
                <w:lang w:eastAsia="zh-CN"/>
              </w:rPr>
              <w:t>80-88</w:t>
            </w:r>
          </w:p>
        </w:tc>
        <w:tc>
          <w:tcPr>
            <w:tcW w:w="2603" w:type="dxa"/>
            <w:vAlign w:val="center"/>
          </w:tcPr>
          <w:p w14:paraId="58C6FE8A">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040F0DF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7ADA1A90">
            <w:pPr>
              <w:pStyle w:val="3"/>
              <w:spacing w:line="360" w:lineRule="auto"/>
              <w:jc w:val="center"/>
              <w:rPr>
                <w:rFonts w:hint="eastAsia"/>
                <w:spacing w:val="-6"/>
                <w:sz w:val="18"/>
                <w:szCs w:val="18"/>
                <w:lang w:eastAsia="zh-CN"/>
              </w:rPr>
            </w:pPr>
            <w:r>
              <w:rPr>
                <w:rFonts w:hint="eastAsia"/>
                <w:spacing w:val="-6"/>
                <w:sz w:val="18"/>
                <w:szCs w:val="18"/>
                <w:lang w:eastAsia="zh-CN"/>
              </w:rPr>
              <w:t>皂化值（KOH）（mg/g）</w:t>
            </w:r>
          </w:p>
        </w:tc>
        <w:tc>
          <w:tcPr>
            <w:tcW w:w="1559" w:type="dxa"/>
            <w:vAlign w:val="center"/>
          </w:tcPr>
          <w:p w14:paraId="4C3DB570">
            <w:pPr>
              <w:pStyle w:val="3"/>
              <w:spacing w:line="360" w:lineRule="auto"/>
              <w:jc w:val="center"/>
              <w:rPr>
                <w:rFonts w:hint="eastAsia"/>
                <w:spacing w:val="-6"/>
                <w:sz w:val="18"/>
                <w:szCs w:val="18"/>
                <w:lang w:eastAsia="zh-CN"/>
              </w:rPr>
            </w:pPr>
            <w:r>
              <w:rPr>
                <w:rFonts w:hint="eastAsia"/>
                <w:spacing w:val="-6"/>
                <w:sz w:val="18"/>
                <w:szCs w:val="18"/>
                <w:lang w:eastAsia="zh-CN"/>
              </w:rPr>
              <w:t>\</w:t>
            </w:r>
          </w:p>
        </w:tc>
        <w:tc>
          <w:tcPr>
            <w:tcW w:w="2268" w:type="dxa"/>
            <w:vAlign w:val="center"/>
          </w:tcPr>
          <w:p w14:paraId="469BAD09">
            <w:pPr>
              <w:pStyle w:val="3"/>
              <w:spacing w:line="360" w:lineRule="auto"/>
              <w:jc w:val="center"/>
              <w:rPr>
                <w:rFonts w:hint="eastAsia"/>
                <w:spacing w:val="-6"/>
                <w:sz w:val="18"/>
                <w:szCs w:val="18"/>
                <w:lang w:eastAsia="zh-CN"/>
              </w:rPr>
            </w:pPr>
            <w:r>
              <w:rPr>
                <w:rFonts w:hint="eastAsia"/>
                <w:spacing w:val="-6"/>
                <w:sz w:val="18"/>
                <w:szCs w:val="18"/>
                <w:lang w:eastAsia="zh-CN"/>
              </w:rPr>
              <w:t>186-196</w:t>
            </w:r>
          </w:p>
        </w:tc>
        <w:tc>
          <w:tcPr>
            <w:tcW w:w="2603" w:type="dxa"/>
            <w:vAlign w:val="center"/>
          </w:tcPr>
          <w:p w14:paraId="033494DD">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6C057CA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2093" w:type="dxa"/>
            <w:vAlign w:val="center"/>
          </w:tcPr>
          <w:p w14:paraId="6704F574">
            <w:pPr>
              <w:pStyle w:val="3"/>
              <w:spacing w:line="360" w:lineRule="auto"/>
              <w:jc w:val="center"/>
              <w:rPr>
                <w:rFonts w:hint="eastAsia"/>
                <w:spacing w:val="-6"/>
                <w:sz w:val="18"/>
                <w:szCs w:val="18"/>
                <w:lang w:eastAsia="zh-CN"/>
              </w:rPr>
            </w:pPr>
            <w:r>
              <w:rPr>
                <w:rFonts w:hint="eastAsia"/>
                <w:spacing w:val="-6"/>
                <w:sz w:val="18"/>
                <w:szCs w:val="18"/>
                <w:lang w:eastAsia="zh-CN"/>
              </w:rPr>
              <w:t>外观</w:t>
            </w:r>
          </w:p>
        </w:tc>
        <w:tc>
          <w:tcPr>
            <w:tcW w:w="1559" w:type="dxa"/>
            <w:vAlign w:val="center"/>
          </w:tcPr>
          <w:p w14:paraId="551D49E4">
            <w:pPr>
              <w:pStyle w:val="3"/>
              <w:spacing w:line="360" w:lineRule="auto"/>
              <w:jc w:val="center"/>
              <w:rPr>
                <w:rFonts w:hint="eastAsia"/>
                <w:spacing w:val="-6"/>
                <w:sz w:val="18"/>
                <w:szCs w:val="18"/>
                <w:lang w:eastAsia="zh-CN"/>
              </w:rPr>
            </w:pPr>
            <w:r>
              <w:rPr>
                <w:rFonts w:hint="eastAsia"/>
                <w:spacing w:val="-6"/>
                <w:sz w:val="18"/>
                <w:szCs w:val="18"/>
                <w:lang w:eastAsia="zh-CN"/>
              </w:rPr>
              <w:t>无色油状液体</w:t>
            </w:r>
          </w:p>
        </w:tc>
        <w:tc>
          <w:tcPr>
            <w:tcW w:w="2268" w:type="dxa"/>
            <w:vAlign w:val="center"/>
          </w:tcPr>
          <w:p w14:paraId="2D66279B">
            <w:pPr>
              <w:pStyle w:val="3"/>
              <w:spacing w:line="360" w:lineRule="auto"/>
              <w:jc w:val="center"/>
              <w:rPr>
                <w:rFonts w:hint="eastAsia"/>
                <w:spacing w:val="-6"/>
                <w:sz w:val="18"/>
                <w:szCs w:val="18"/>
                <w:lang w:eastAsia="zh-CN"/>
              </w:rPr>
            </w:pPr>
            <w:r>
              <w:rPr>
                <w:rFonts w:hint="eastAsia"/>
                <w:spacing w:val="-6"/>
                <w:sz w:val="18"/>
                <w:szCs w:val="18"/>
                <w:lang w:eastAsia="zh-CN"/>
              </w:rPr>
              <w:t>淡黄色至金黄色油状液体</w:t>
            </w:r>
          </w:p>
          <w:p w14:paraId="3C7F438D">
            <w:pPr>
              <w:pStyle w:val="3"/>
              <w:spacing w:line="360" w:lineRule="auto"/>
              <w:jc w:val="center"/>
              <w:rPr>
                <w:rFonts w:hint="eastAsia"/>
                <w:spacing w:val="-6"/>
                <w:sz w:val="18"/>
                <w:szCs w:val="18"/>
                <w:lang w:eastAsia="zh-CN"/>
              </w:rPr>
            </w:pPr>
            <w:r>
              <w:rPr>
                <w:rFonts w:hint="eastAsia"/>
                <w:spacing w:val="-6"/>
                <w:sz w:val="18"/>
                <w:szCs w:val="18"/>
                <w:lang w:eastAsia="zh-CN"/>
              </w:rPr>
              <w:t>/无色至微黄色油状液体</w:t>
            </w:r>
          </w:p>
        </w:tc>
        <w:tc>
          <w:tcPr>
            <w:tcW w:w="2603" w:type="dxa"/>
            <w:vAlign w:val="center"/>
          </w:tcPr>
          <w:p w14:paraId="1163BB9E">
            <w:pPr>
              <w:pStyle w:val="3"/>
              <w:spacing w:line="360" w:lineRule="auto"/>
              <w:jc w:val="center"/>
              <w:rPr>
                <w:rFonts w:hint="eastAsia"/>
                <w:spacing w:val="-6"/>
                <w:sz w:val="18"/>
                <w:szCs w:val="18"/>
                <w:lang w:eastAsia="zh-CN"/>
              </w:rPr>
            </w:pPr>
            <w:r>
              <w:rPr>
                <w:rFonts w:hint="eastAsia"/>
                <w:spacing w:val="-6"/>
                <w:sz w:val="18"/>
                <w:szCs w:val="18"/>
                <w:lang w:eastAsia="zh-CN"/>
              </w:rPr>
              <w:t>根据实际生产原料进行描述</w:t>
            </w:r>
          </w:p>
        </w:tc>
      </w:tr>
      <w:tr w14:paraId="558C9ED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4A1B45FF">
            <w:pPr>
              <w:pStyle w:val="3"/>
              <w:spacing w:line="360" w:lineRule="auto"/>
              <w:jc w:val="center"/>
              <w:rPr>
                <w:rFonts w:hint="eastAsia"/>
                <w:spacing w:val="-6"/>
                <w:sz w:val="18"/>
                <w:szCs w:val="18"/>
                <w:lang w:eastAsia="zh-CN"/>
              </w:rPr>
            </w:pPr>
            <w:r>
              <w:rPr>
                <w:rFonts w:hint="eastAsia"/>
                <w:spacing w:val="-6"/>
                <w:sz w:val="18"/>
                <w:szCs w:val="18"/>
                <w:lang w:eastAsia="zh-CN"/>
              </w:rPr>
              <w:t>水分及挥发物含量（</w:t>
            </w:r>
            <w:r>
              <w:rPr>
                <w:spacing w:val="-6"/>
                <w:sz w:val="18"/>
                <w:szCs w:val="18"/>
                <w:lang w:eastAsia="zh-CN"/>
              </w:rPr>
              <w:t>%</w:t>
            </w:r>
            <w:r>
              <w:rPr>
                <w:rFonts w:hint="eastAsia"/>
                <w:spacing w:val="-6"/>
                <w:sz w:val="18"/>
                <w:szCs w:val="18"/>
                <w:lang w:eastAsia="zh-CN"/>
              </w:rPr>
              <w:t>）</w:t>
            </w:r>
          </w:p>
        </w:tc>
        <w:tc>
          <w:tcPr>
            <w:tcW w:w="1559" w:type="dxa"/>
            <w:vAlign w:val="center"/>
          </w:tcPr>
          <w:p w14:paraId="2CDBD73B">
            <w:pPr>
              <w:pStyle w:val="3"/>
              <w:spacing w:line="360" w:lineRule="auto"/>
              <w:jc w:val="center"/>
              <w:rPr>
                <w:rFonts w:hint="eastAsia"/>
                <w:spacing w:val="-6"/>
                <w:sz w:val="18"/>
                <w:szCs w:val="18"/>
                <w:lang w:eastAsia="zh-CN"/>
              </w:rPr>
            </w:pPr>
            <w:r>
              <w:rPr>
                <w:rFonts w:hint="eastAsia"/>
                <w:spacing w:val="-6"/>
                <w:sz w:val="18"/>
                <w:szCs w:val="18"/>
                <w:lang w:eastAsia="zh-CN"/>
              </w:rPr>
              <w:t>≤0.10/≤</w:t>
            </w:r>
            <w:r>
              <w:rPr>
                <w:spacing w:val="-6"/>
                <w:sz w:val="18"/>
                <w:szCs w:val="18"/>
                <w:lang w:eastAsia="zh-CN"/>
              </w:rPr>
              <w:t>0.20</w:t>
            </w:r>
          </w:p>
        </w:tc>
        <w:tc>
          <w:tcPr>
            <w:tcW w:w="2268" w:type="dxa"/>
            <w:vAlign w:val="center"/>
          </w:tcPr>
          <w:p w14:paraId="08E984EA">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5EF759CD">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376D89D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7E66BC17">
            <w:pPr>
              <w:pStyle w:val="3"/>
              <w:spacing w:line="360" w:lineRule="auto"/>
              <w:jc w:val="center"/>
              <w:rPr>
                <w:rFonts w:hint="eastAsia"/>
                <w:spacing w:val="-6"/>
                <w:sz w:val="18"/>
                <w:szCs w:val="18"/>
                <w:lang w:eastAsia="zh-CN"/>
              </w:rPr>
            </w:pPr>
            <w:r>
              <w:rPr>
                <w:rFonts w:hint="eastAsia"/>
                <w:spacing w:val="-6"/>
                <w:sz w:val="18"/>
                <w:szCs w:val="18"/>
                <w:lang w:eastAsia="zh-CN"/>
              </w:rPr>
              <w:t>不溶性杂质含量（</w:t>
            </w:r>
            <w:r>
              <w:rPr>
                <w:spacing w:val="-6"/>
                <w:sz w:val="18"/>
                <w:szCs w:val="18"/>
                <w:lang w:eastAsia="zh-CN"/>
              </w:rPr>
              <w:t>%</w:t>
            </w:r>
            <w:r>
              <w:rPr>
                <w:rFonts w:hint="eastAsia"/>
                <w:spacing w:val="-6"/>
                <w:sz w:val="18"/>
                <w:szCs w:val="18"/>
                <w:lang w:eastAsia="zh-CN"/>
              </w:rPr>
              <w:t>）</w:t>
            </w:r>
          </w:p>
        </w:tc>
        <w:tc>
          <w:tcPr>
            <w:tcW w:w="1559" w:type="dxa"/>
            <w:vAlign w:val="center"/>
          </w:tcPr>
          <w:p w14:paraId="5858D57C">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w:t>
            </w:r>
            <w:r>
              <w:rPr>
                <w:rFonts w:hint="eastAsia"/>
                <w:spacing w:val="-6"/>
                <w:sz w:val="18"/>
                <w:szCs w:val="18"/>
                <w:lang w:eastAsia="zh-CN"/>
              </w:rPr>
              <w:t>05</w:t>
            </w:r>
          </w:p>
        </w:tc>
        <w:tc>
          <w:tcPr>
            <w:tcW w:w="2268" w:type="dxa"/>
            <w:vAlign w:val="center"/>
          </w:tcPr>
          <w:p w14:paraId="5AE27602">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43CF2488">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0CE5EB3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01440BAA">
            <w:pPr>
              <w:pStyle w:val="3"/>
              <w:spacing w:line="360" w:lineRule="auto"/>
              <w:jc w:val="center"/>
              <w:rPr>
                <w:rFonts w:hint="eastAsia"/>
                <w:spacing w:val="-6"/>
                <w:sz w:val="18"/>
                <w:szCs w:val="18"/>
                <w:lang w:eastAsia="zh-CN"/>
              </w:rPr>
            </w:pPr>
            <w:r>
              <w:rPr>
                <w:rFonts w:hint="eastAsia"/>
                <w:spacing w:val="-6"/>
                <w:sz w:val="18"/>
                <w:szCs w:val="18"/>
                <w:lang w:eastAsia="zh-CN"/>
              </w:rPr>
              <w:t>生育酚（mg/kg）</w:t>
            </w:r>
          </w:p>
        </w:tc>
        <w:tc>
          <w:tcPr>
            <w:tcW w:w="1559" w:type="dxa"/>
            <w:vAlign w:val="center"/>
          </w:tcPr>
          <w:p w14:paraId="657C3A15">
            <w:pPr>
              <w:pStyle w:val="3"/>
              <w:spacing w:line="360" w:lineRule="auto"/>
              <w:jc w:val="center"/>
              <w:rPr>
                <w:rFonts w:hint="eastAsia"/>
                <w:spacing w:val="-6"/>
                <w:sz w:val="18"/>
                <w:szCs w:val="18"/>
                <w:lang w:eastAsia="zh-CN"/>
              </w:rPr>
            </w:pPr>
            <w:r>
              <w:rPr>
                <w:rFonts w:hint="eastAsia"/>
                <w:spacing w:val="-6"/>
                <w:sz w:val="18"/>
                <w:szCs w:val="18"/>
                <w:lang w:eastAsia="zh-CN"/>
              </w:rPr>
              <w:t>≥50.0</w:t>
            </w:r>
          </w:p>
        </w:tc>
        <w:tc>
          <w:tcPr>
            <w:tcW w:w="2268" w:type="dxa"/>
            <w:vAlign w:val="center"/>
          </w:tcPr>
          <w:p w14:paraId="4ABC2E3E">
            <w:pPr>
              <w:pStyle w:val="3"/>
              <w:spacing w:line="360" w:lineRule="auto"/>
              <w:jc w:val="center"/>
              <w:rPr>
                <w:rFonts w:hint="eastAsia"/>
                <w:spacing w:val="-6"/>
                <w:sz w:val="18"/>
                <w:szCs w:val="18"/>
                <w:lang w:eastAsia="zh-CN"/>
              </w:rPr>
            </w:pPr>
            <w:r>
              <w:rPr>
                <w:rFonts w:hint="eastAsia"/>
                <w:spacing w:val="-6"/>
                <w:sz w:val="18"/>
                <w:szCs w:val="18"/>
                <w:lang w:eastAsia="zh-CN"/>
              </w:rPr>
              <w:t>≥30</w:t>
            </w:r>
          </w:p>
        </w:tc>
        <w:tc>
          <w:tcPr>
            <w:tcW w:w="2603" w:type="dxa"/>
          </w:tcPr>
          <w:p w14:paraId="75D68156">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5CCF73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6BCABA54">
            <w:pPr>
              <w:pStyle w:val="3"/>
              <w:spacing w:line="360" w:lineRule="auto"/>
              <w:jc w:val="center"/>
              <w:rPr>
                <w:rFonts w:hint="eastAsia"/>
                <w:spacing w:val="-6"/>
                <w:sz w:val="18"/>
                <w:szCs w:val="18"/>
                <w:lang w:eastAsia="zh-CN"/>
              </w:rPr>
            </w:pPr>
            <w:r>
              <w:rPr>
                <w:rFonts w:hint="eastAsia"/>
                <w:spacing w:val="-6"/>
                <w:sz w:val="18"/>
                <w:szCs w:val="18"/>
                <w:lang w:eastAsia="zh-CN"/>
              </w:rPr>
              <w:t>角鲨烯（mg/kg）</w:t>
            </w:r>
          </w:p>
        </w:tc>
        <w:tc>
          <w:tcPr>
            <w:tcW w:w="1559" w:type="dxa"/>
            <w:vAlign w:val="center"/>
          </w:tcPr>
          <w:p w14:paraId="1BBDD2CE">
            <w:pPr>
              <w:pStyle w:val="3"/>
              <w:spacing w:line="360" w:lineRule="auto"/>
              <w:jc w:val="center"/>
              <w:rPr>
                <w:rFonts w:hint="eastAsia"/>
                <w:spacing w:val="-6"/>
                <w:sz w:val="18"/>
                <w:szCs w:val="18"/>
                <w:lang w:eastAsia="zh-CN"/>
              </w:rPr>
            </w:pPr>
            <w:r>
              <w:rPr>
                <w:rFonts w:hint="eastAsia"/>
                <w:spacing w:val="-6"/>
                <w:sz w:val="18"/>
                <w:szCs w:val="18"/>
                <w:lang w:eastAsia="zh-CN"/>
              </w:rPr>
              <w:t>≥30.0</w:t>
            </w:r>
          </w:p>
        </w:tc>
        <w:tc>
          <w:tcPr>
            <w:tcW w:w="2268" w:type="dxa"/>
            <w:vAlign w:val="center"/>
          </w:tcPr>
          <w:p w14:paraId="3ECEA3A2">
            <w:pPr>
              <w:pStyle w:val="3"/>
              <w:spacing w:line="360" w:lineRule="auto"/>
              <w:jc w:val="center"/>
              <w:rPr>
                <w:rFonts w:hint="eastAsia"/>
                <w:spacing w:val="-6"/>
                <w:sz w:val="18"/>
                <w:szCs w:val="18"/>
                <w:lang w:eastAsia="zh-CN"/>
              </w:rPr>
            </w:pPr>
            <w:r>
              <w:rPr>
                <w:rFonts w:hint="eastAsia"/>
                <w:spacing w:val="-6"/>
                <w:sz w:val="18"/>
                <w:szCs w:val="18"/>
                <w:lang w:eastAsia="zh-CN"/>
              </w:rPr>
              <w:t>≥20</w:t>
            </w:r>
          </w:p>
        </w:tc>
        <w:tc>
          <w:tcPr>
            <w:tcW w:w="2603" w:type="dxa"/>
          </w:tcPr>
          <w:p w14:paraId="220181FD">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bl>
    <w:p w14:paraId="6B3051B7">
      <w:pPr>
        <w:pStyle w:val="3"/>
        <w:spacing w:line="360" w:lineRule="auto"/>
        <w:jc w:val="center"/>
        <w:rPr>
          <w:rFonts w:hint="eastAsia"/>
          <w:spacing w:val="-6"/>
          <w:lang w:eastAsia="zh-CN"/>
        </w:rPr>
      </w:pPr>
    </w:p>
    <w:p w14:paraId="278FC11B">
      <w:pPr>
        <w:pStyle w:val="3"/>
        <w:spacing w:line="360" w:lineRule="auto"/>
        <w:jc w:val="center"/>
        <w:rPr>
          <w:rFonts w:hint="eastAsia"/>
          <w:spacing w:val="-6"/>
          <w:lang w:eastAsia="zh-CN"/>
        </w:rPr>
      </w:pPr>
      <w:r>
        <w:rPr>
          <w:rFonts w:hint="eastAsia"/>
          <w:spacing w:val="-6"/>
          <w:lang w:eastAsia="zh-CN"/>
        </w:rPr>
        <w:t>表3.本标准与</w:t>
      </w:r>
      <w:r>
        <w:rPr>
          <w:spacing w:val="-1"/>
          <w:sz w:val="20"/>
          <w:szCs w:val="20"/>
          <w:lang w:eastAsia="zh-CN"/>
        </w:rPr>
        <w:t>T/</w:t>
      </w:r>
      <w:r>
        <w:rPr>
          <w:rFonts w:hint="eastAsia"/>
          <w:spacing w:val="-1"/>
          <w:sz w:val="20"/>
          <w:szCs w:val="20"/>
          <w:lang w:eastAsia="zh-CN"/>
        </w:rPr>
        <w:t xml:space="preserve">SHRH </w:t>
      </w:r>
      <w:r>
        <w:rPr>
          <w:spacing w:val="-1"/>
          <w:sz w:val="20"/>
          <w:szCs w:val="20"/>
          <w:lang w:eastAsia="zh-CN"/>
        </w:rPr>
        <w:t>0</w:t>
      </w:r>
      <w:r>
        <w:rPr>
          <w:rFonts w:hint="eastAsia"/>
          <w:spacing w:val="-1"/>
          <w:sz w:val="20"/>
          <w:szCs w:val="20"/>
          <w:lang w:eastAsia="zh-CN"/>
        </w:rPr>
        <w:t>37</w:t>
      </w:r>
      <w:r>
        <w:rPr>
          <w:spacing w:val="-1"/>
          <w:sz w:val="20"/>
          <w:szCs w:val="20"/>
          <w:lang w:eastAsia="zh-CN"/>
        </w:rPr>
        <w:t>-202</w:t>
      </w:r>
      <w:r>
        <w:rPr>
          <w:rFonts w:hint="eastAsia"/>
          <w:spacing w:val="-1"/>
          <w:sz w:val="20"/>
          <w:szCs w:val="20"/>
          <w:lang w:eastAsia="zh-CN"/>
        </w:rPr>
        <w:t>1</w:t>
      </w:r>
      <w:r>
        <w:rPr>
          <w:rFonts w:hint="eastAsia"/>
          <w:spacing w:val="-6"/>
          <w:lang w:eastAsia="zh-CN"/>
        </w:rPr>
        <w:t>的差异</w:t>
      </w:r>
    </w:p>
    <w:tbl>
      <w:tblPr>
        <w:tblStyle w:val="8"/>
        <w:tblW w:w="0" w:type="auto"/>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093"/>
        <w:gridCol w:w="1559"/>
        <w:gridCol w:w="2268"/>
        <w:gridCol w:w="2603"/>
      </w:tblGrid>
      <w:tr w14:paraId="42634FF6">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bottom w:val="single" w:color="auto" w:sz="4" w:space="0"/>
            </w:tcBorders>
            <w:vAlign w:val="center"/>
          </w:tcPr>
          <w:p w14:paraId="44C24CF7">
            <w:pPr>
              <w:pStyle w:val="3"/>
              <w:spacing w:line="360" w:lineRule="auto"/>
              <w:jc w:val="center"/>
              <w:rPr>
                <w:rFonts w:hint="eastAsia"/>
                <w:spacing w:val="-6"/>
                <w:sz w:val="18"/>
                <w:szCs w:val="18"/>
                <w:lang w:eastAsia="zh-CN"/>
              </w:rPr>
            </w:pPr>
            <w:r>
              <w:rPr>
                <w:rFonts w:hint="eastAsia"/>
                <w:spacing w:val="-6"/>
                <w:sz w:val="18"/>
                <w:szCs w:val="18"/>
                <w:lang w:eastAsia="zh-CN"/>
              </w:rPr>
              <w:t>指标设置</w:t>
            </w:r>
          </w:p>
        </w:tc>
        <w:tc>
          <w:tcPr>
            <w:tcW w:w="1559" w:type="dxa"/>
            <w:tcBorders>
              <w:top w:val="single" w:color="auto" w:sz="4" w:space="0"/>
              <w:bottom w:val="single" w:color="auto" w:sz="4" w:space="0"/>
            </w:tcBorders>
            <w:vAlign w:val="center"/>
          </w:tcPr>
          <w:p w14:paraId="63879C3D">
            <w:pPr>
              <w:pStyle w:val="3"/>
              <w:spacing w:line="360" w:lineRule="auto"/>
              <w:jc w:val="center"/>
              <w:rPr>
                <w:rFonts w:hint="eastAsia"/>
                <w:spacing w:val="-6"/>
                <w:sz w:val="18"/>
                <w:szCs w:val="18"/>
                <w:lang w:eastAsia="zh-CN"/>
              </w:rPr>
            </w:pPr>
            <w:r>
              <w:rPr>
                <w:rFonts w:hint="eastAsia"/>
                <w:spacing w:val="-6"/>
                <w:sz w:val="18"/>
                <w:szCs w:val="18"/>
                <w:lang w:eastAsia="zh-CN"/>
              </w:rPr>
              <w:t>团标</w:t>
            </w:r>
          </w:p>
        </w:tc>
        <w:tc>
          <w:tcPr>
            <w:tcW w:w="2268" w:type="dxa"/>
            <w:tcBorders>
              <w:top w:val="single" w:color="auto" w:sz="4" w:space="0"/>
              <w:bottom w:val="single" w:color="auto" w:sz="4" w:space="0"/>
            </w:tcBorders>
            <w:vAlign w:val="center"/>
          </w:tcPr>
          <w:p w14:paraId="13B4F054">
            <w:pPr>
              <w:pStyle w:val="3"/>
              <w:spacing w:line="360" w:lineRule="auto"/>
              <w:jc w:val="center"/>
              <w:rPr>
                <w:rFonts w:hint="eastAsia"/>
                <w:spacing w:val="-6"/>
                <w:sz w:val="18"/>
                <w:szCs w:val="18"/>
                <w:lang w:eastAsia="zh-CN"/>
              </w:rPr>
            </w:pPr>
            <w:r>
              <w:rPr>
                <w:rFonts w:hint="eastAsia"/>
                <w:spacing w:val="-6"/>
                <w:sz w:val="18"/>
                <w:szCs w:val="18"/>
                <w:lang w:eastAsia="zh-CN"/>
              </w:rPr>
              <w:t>本标准</w:t>
            </w:r>
          </w:p>
        </w:tc>
        <w:tc>
          <w:tcPr>
            <w:tcW w:w="2603" w:type="dxa"/>
            <w:tcBorders>
              <w:top w:val="single" w:color="auto" w:sz="4" w:space="0"/>
              <w:bottom w:val="single" w:color="auto" w:sz="4" w:space="0"/>
            </w:tcBorders>
            <w:vAlign w:val="center"/>
          </w:tcPr>
          <w:p w14:paraId="2A223AC2">
            <w:pPr>
              <w:pStyle w:val="3"/>
              <w:spacing w:line="360" w:lineRule="auto"/>
              <w:jc w:val="center"/>
              <w:rPr>
                <w:rFonts w:hint="eastAsia"/>
                <w:spacing w:val="-6"/>
                <w:sz w:val="18"/>
                <w:szCs w:val="18"/>
                <w:lang w:eastAsia="zh-CN"/>
              </w:rPr>
            </w:pPr>
            <w:r>
              <w:rPr>
                <w:rFonts w:hint="eastAsia"/>
                <w:spacing w:val="-6"/>
                <w:sz w:val="18"/>
                <w:szCs w:val="18"/>
                <w:lang w:eastAsia="zh-CN"/>
              </w:rPr>
              <w:t>差异性原因</w:t>
            </w:r>
          </w:p>
        </w:tc>
      </w:tr>
      <w:tr w14:paraId="5EAB011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tcBorders>
              <w:top w:val="single" w:color="auto" w:sz="4" w:space="0"/>
            </w:tcBorders>
            <w:vAlign w:val="center"/>
          </w:tcPr>
          <w:p w14:paraId="48790BBC">
            <w:pPr>
              <w:pStyle w:val="3"/>
              <w:spacing w:line="360" w:lineRule="auto"/>
              <w:jc w:val="center"/>
              <w:rPr>
                <w:rFonts w:hint="eastAsia"/>
                <w:spacing w:val="-6"/>
                <w:sz w:val="18"/>
                <w:szCs w:val="18"/>
                <w:lang w:eastAsia="zh-CN"/>
              </w:rPr>
            </w:pPr>
            <w:r>
              <w:rPr>
                <w:rFonts w:hint="eastAsia"/>
                <w:spacing w:val="-6"/>
                <w:sz w:val="18"/>
                <w:szCs w:val="18"/>
                <w:lang w:eastAsia="zh-CN"/>
              </w:rPr>
              <w:t>折光率（n25）</w:t>
            </w:r>
          </w:p>
        </w:tc>
        <w:tc>
          <w:tcPr>
            <w:tcW w:w="1559" w:type="dxa"/>
            <w:tcBorders>
              <w:top w:val="single" w:color="auto" w:sz="4" w:space="0"/>
            </w:tcBorders>
            <w:vAlign w:val="center"/>
          </w:tcPr>
          <w:p w14:paraId="18B1B64D">
            <w:pPr>
              <w:pStyle w:val="3"/>
              <w:spacing w:line="360" w:lineRule="auto"/>
              <w:jc w:val="center"/>
              <w:rPr>
                <w:rFonts w:hint="eastAsia"/>
                <w:spacing w:val="-6"/>
                <w:sz w:val="18"/>
                <w:szCs w:val="18"/>
                <w:lang w:eastAsia="zh-CN"/>
              </w:rPr>
            </w:pPr>
            <w:r>
              <w:rPr>
                <w:rFonts w:hint="eastAsia"/>
                <w:spacing w:val="-6"/>
                <w:sz w:val="18"/>
                <w:szCs w:val="18"/>
                <w:lang w:eastAsia="zh-CN"/>
              </w:rPr>
              <w:t>1.466-1.470</w:t>
            </w:r>
          </w:p>
        </w:tc>
        <w:tc>
          <w:tcPr>
            <w:tcW w:w="2268" w:type="dxa"/>
            <w:tcBorders>
              <w:top w:val="single" w:color="auto" w:sz="4" w:space="0"/>
            </w:tcBorders>
            <w:vAlign w:val="center"/>
          </w:tcPr>
          <w:p w14:paraId="55C960B0">
            <w:pPr>
              <w:pStyle w:val="3"/>
              <w:spacing w:line="360" w:lineRule="auto"/>
              <w:jc w:val="center"/>
              <w:rPr>
                <w:rFonts w:hint="eastAsia"/>
                <w:spacing w:val="-6"/>
                <w:sz w:val="18"/>
                <w:szCs w:val="18"/>
                <w:lang w:eastAsia="zh-CN"/>
              </w:rPr>
            </w:pPr>
            <w:r>
              <w:rPr>
                <w:rFonts w:hint="eastAsia"/>
                <w:spacing w:val="-6"/>
                <w:sz w:val="18"/>
                <w:szCs w:val="18"/>
                <w:lang w:eastAsia="zh-CN"/>
              </w:rPr>
              <w:t>1.467-1.472</w:t>
            </w:r>
          </w:p>
        </w:tc>
        <w:tc>
          <w:tcPr>
            <w:tcW w:w="2603" w:type="dxa"/>
            <w:tcBorders>
              <w:top w:val="single" w:color="auto" w:sz="4" w:space="0"/>
            </w:tcBorders>
            <w:vAlign w:val="center"/>
          </w:tcPr>
          <w:p w14:paraId="215EE0C5">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59B7B7F0">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3F4F4BC4">
            <w:pPr>
              <w:pStyle w:val="3"/>
              <w:spacing w:line="360" w:lineRule="auto"/>
              <w:jc w:val="center"/>
              <w:rPr>
                <w:rFonts w:hint="eastAsia"/>
                <w:spacing w:val="-6"/>
                <w:sz w:val="18"/>
                <w:szCs w:val="18"/>
                <w:lang w:eastAsia="zh-CN"/>
              </w:rPr>
            </w:pPr>
            <w:r>
              <w:rPr>
                <w:rFonts w:hint="eastAsia"/>
                <w:spacing w:val="-6"/>
                <w:sz w:val="18"/>
                <w:szCs w:val="18"/>
                <w:lang w:eastAsia="zh-CN"/>
              </w:rPr>
              <w:t>碘值（I）（g/100g）</w:t>
            </w:r>
          </w:p>
        </w:tc>
        <w:tc>
          <w:tcPr>
            <w:tcW w:w="1559" w:type="dxa"/>
            <w:vAlign w:val="center"/>
          </w:tcPr>
          <w:p w14:paraId="5EC22C5F">
            <w:pPr>
              <w:pStyle w:val="3"/>
              <w:spacing w:line="360" w:lineRule="auto"/>
              <w:jc w:val="center"/>
              <w:rPr>
                <w:rFonts w:hint="eastAsia"/>
                <w:spacing w:val="-6"/>
                <w:sz w:val="18"/>
                <w:szCs w:val="18"/>
                <w:lang w:eastAsia="zh-CN"/>
              </w:rPr>
            </w:pPr>
            <w:r>
              <w:rPr>
                <w:rFonts w:hint="eastAsia"/>
                <w:spacing w:val="-6"/>
                <w:sz w:val="18"/>
                <w:szCs w:val="18"/>
                <w:lang w:eastAsia="zh-CN"/>
              </w:rPr>
              <w:t>80-88</w:t>
            </w:r>
          </w:p>
        </w:tc>
        <w:tc>
          <w:tcPr>
            <w:tcW w:w="2268" w:type="dxa"/>
            <w:vAlign w:val="center"/>
          </w:tcPr>
          <w:p w14:paraId="5AC779B5">
            <w:pPr>
              <w:pStyle w:val="3"/>
              <w:spacing w:line="360" w:lineRule="auto"/>
              <w:jc w:val="center"/>
              <w:rPr>
                <w:rFonts w:hint="eastAsia"/>
                <w:spacing w:val="-6"/>
                <w:sz w:val="18"/>
                <w:szCs w:val="18"/>
                <w:lang w:eastAsia="zh-CN"/>
              </w:rPr>
            </w:pPr>
            <w:r>
              <w:rPr>
                <w:rFonts w:hint="eastAsia"/>
                <w:spacing w:val="-6"/>
                <w:sz w:val="18"/>
                <w:szCs w:val="18"/>
                <w:lang w:eastAsia="zh-CN"/>
              </w:rPr>
              <w:t>80-88</w:t>
            </w:r>
          </w:p>
        </w:tc>
        <w:tc>
          <w:tcPr>
            <w:tcW w:w="2603" w:type="dxa"/>
            <w:vAlign w:val="center"/>
          </w:tcPr>
          <w:p w14:paraId="51AA746B">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44410A3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3D6407A4">
            <w:pPr>
              <w:pStyle w:val="3"/>
              <w:spacing w:line="360" w:lineRule="auto"/>
              <w:jc w:val="center"/>
              <w:rPr>
                <w:rFonts w:hint="eastAsia"/>
                <w:spacing w:val="-6"/>
                <w:sz w:val="18"/>
                <w:szCs w:val="18"/>
                <w:lang w:eastAsia="zh-CN"/>
              </w:rPr>
            </w:pPr>
            <w:r>
              <w:rPr>
                <w:rFonts w:hint="eastAsia"/>
                <w:spacing w:val="-6"/>
                <w:sz w:val="18"/>
                <w:szCs w:val="18"/>
                <w:lang w:eastAsia="zh-CN"/>
              </w:rPr>
              <w:t>皂化值（KOH）（mg/g）</w:t>
            </w:r>
          </w:p>
        </w:tc>
        <w:tc>
          <w:tcPr>
            <w:tcW w:w="1559" w:type="dxa"/>
            <w:vAlign w:val="center"/>
          </w:tcPr>
          <w:p w14:paraId="069A6828">
            <w:pPr>
              <w:pStyle w:val="3"/>
              <w:spacing w:line="360" w:lineRule="auto"/>
              <w:jc w:val="center"/>
              <w:rPr>
                <w:rFonts w:hint="eastAsia"/>
                <w:spacing w:val="-6"/>
                <w:sz w:val="18"/>
                <w:szCs w:val="18"/>
                <w:lang w:eastAsia="zh-CN"/>
              </w:rPr>
            </w:pPr>
            <w:r>
              <w:rPr>
                <w:rFonts w:hint="eastAsia"/>
                <w:spacing w:val="-6"/>
                <w:sz w:val="18"/>
                <w:szCs w:val="18"/>
                <w:lang w:eastAsia="zh-CN"/>
              </w:rPr>
              <w:t>185-196</w:t>
            </w:r>
          </w:p>
        </w:tc>
        <w:tc>
          <w:tcPr>
            <w:tcW w:w="2268" w:type="dxa"/>
            <w:vAlign w:val="center"/>
          </w:tcPr>
          <w:p w14:paraId="480718D1">
            <w:pPr>
              <w:pStyle w:val="3"/>
              <w:spacing w:line="360" w:lineRule="auto"/>
              <w:jc w:val="center"/>
              <w:rPr>
                <w:rFonts w:hint="eastAsia"/>
                <w:spacing w:val="-6"/>
                <w:sz w:val="18"/>
                <w:szCs w:val="18"/>
                <w:lang w:eastAsia="zh-CN"/>
              </w:rPr>
            </w:pPr>
            <w:r>
              <w:rPr>
                <w:rFonts w:hint="eastAsia"/>
                <w:spacing w:val="-6"/>
                <w:sz w:val="18"/>
                <w:szCs w:val="18"/>
                <w:lang w:eastAsia="zh-CN"/>
              </w:rPr>
              <w:t>186-196</w:t>
            </w:r>
          </w:p>
        </w:tc>
        <w:tc>
          <w:tcPr>
            <w:tcW w:w="2603" w:type="dxa"/>
            <w:vAlign w:val="center"/>
          </w:tcPr>
          <w:p w14:paraId="34884D13">
            <w:pPr>
              <w:pStyle w:val="3"/>
              <w:spacing w:line="360" w:lineRule="auto"/>
              <w:jc w:val="center"/>
              <w:rPr>
                <w:rFonts w:hint="eastAsia"/>
                <w:spacing w:val="-6"/>
                <w:sz w:val="18"/>
                <w:szCs w:val="18"/>
                <w:lang w:eastAsia="zh-CN"/>
              </w:rPr>
            </w:pPr>
            <w:r>
              <w:rPr>
                <w:rFonts w:hint="eastAsia"/>
                <w:spacing w:val="-6"/>
                <w:sz w:val="18"/>
                <w:szCs w:val="18"/>
                <w:lang w:eastAsia="zh-CN"/>
              </w:rPr>
              <w:t>化妆品用原料建议性指标</w:t>
            </w:r>
          </w:p>
        </w:tc>
      </w:tr>
      <w:tr w14:paraId="7359CD0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2093" w:type="dxa"/>
            <w:vAlign w:val="center"/>
          </w:tcPr>
          <w:p w14:paraId="63B6D6BB">
            <w:pPr>
              <w:pStyle w:val="3"/>
              <w:spacing w:line="360" w:lineRule="auto"/>
              <w:jc w:val="center"/>
              <w:rPr>
                <w:rFonts w:hint="eastAsia"/>
                <w:spacing w:val="-6"/>
                <w:sz w:val="18"/>
                <w:szCs w:val="18"/>
                <w:lang w:eastAsia="zh-CN"/>
              </w:rPr>
            </w:pPr>
            <w:r>
              <w:rPr>
                <w:rFonts w:hint="eastAsia"/>
                <w:spacing w:val="-6"/>
                <w:sz w:val="18"/>
                <w:szCs w:val="18"/>
                <w:lang w:eastAsia="zh-CN"/>
              </w:rPr>
              <w:t>外观</w:t>
            </w:r>
          </w:p>
        </w:tc>
        <w:tc>
          <w:tcPr>
            <w:tcW w:w="1559" w:type="dxa"/>
            <w:vAlign w:val="center"/>
          </w:tcPr>
          <w:p w14:paraId="554F8E82">
            <w:pPr>
              <w:pStyle w:val="3"/>
              <w:spacing w:line="360" w:lineRule="auto"/>
              <w:jc w:val="center"/>
              <w:rPr>
                <w:rFonts w:hint="eastAsia"/>
                <w:spacing w:val="-6"/>
                <w:sz w:val="18"/>
                <w:szCs w:val="18"/>
                <w:lang w:eastAsia="zh-CN"/>
              </w:rPr>
            </w:pPr>
            <w:r>
              <w:rPr>
                <w:rFonts w:hint="eastAsia"/>
                <w:spacing w:val="-6"/>
                <w:sz w:val="18"/>
                <w:szCs w:val="18"/>
                <w:lang w:eastAsia="zh-CN"/>
              </w:rPr>
              <w:t>无色至淡黄色油状液体</w:t>
            </w:r>
          </w:p>
        </w:tc>
        <w:tc>
          <w:tcPr>
            <w:tcW w:w="2268" w:type="dxa"/>
            <w:vAlign w:val="center"/>
          </w:tcPr>
          <w:p w14:paraId="5E695AC7">
            <w:pPr>
              <w:pStyle w:val="3"/>
              <w:spacing w:line="360" w:lineRule="auto"/>
              <w:jc w:val="center"/>
              <w:rPr>
                <w:rFonts w:hint="eastAsia"/>
                <w:spacing w:val="-6"/>
                <w:sz w:val="18"/>
                <w:szCs w:val="18"/>
                <w:lang w:eastAsia="zh-CN"/>
              </w:rPr>
            </w:pPr>
            <w:r>
              <w:rPr>
                <w:rFonts w:hint="eastAsia"/>
                <w:spacing w:val="-6"/>
                <w:sz w:val="18"/>
                <w:szCs w:val="18"/>
                <w:lang w:eastAsia="zh-CN"/>
              </w:rPr>
              <w:t>淡黄色至金黄色油状液体</w:t>
            </w:r>
          </w:p>
          <w:p w14:paraId="7BD993EF">
            <w:pPr>
              <w:pStyle w:val="3"/>
              <w:spacing w:line="360" w:lineRule="auto"/>
              <w:jc w:val="center"/>
              <w:rPr>
                <w:rFonts w:hint="eastAsia"/>
                <w:spacing w:val="-6"/>
                <w:sz w:val="18"/>
                <w:szCs w:val="18"/>
                <w:lang w:eastAsia="zh-CN"/>
              </w:rPr>
            </w:pPr>
            <w:r>
              <w:rPr>
                <w:rFonts w:hint="eastAsia"/>
                <w:spacing w:val="-6"/>
                <w:sz w:val="18"/>
                <w:szCs w:val="18"/>
                <w:lang w:eastAsia="zh-CN"/>
              </w:rPr>
              <w:t>/无色至微黄色油状液体</w:t>
            </w:r>
          </w:p>
        </w:tc>
        <w:tc>
          <w:tcPr>
            <w:tcW w:w="2603" w:type="dxa"/>
            <w:vAlign w:val="center"/>
          </w:tcPr>
          <w:p w14:paraId="59A20045">
            <w:pPr>
              <w:pStyle w:val="3"/>
              <w:spacing w:line="360" w:lineRule="auto"/>
              <w:jc w:val="center"/>
              <w:rPr>
                <w:rFonts w:hint="eastAsia"/>
                <w:spacing w:val="-6"/>
                <w:sz w:val="18"/>
                <w:szCs w:val="18"/>
                <w:lang w:eastAsia="zh-CN"/>
              </w:rPr>
            </w:pPr>
            <w:r>
              <w:rPr>
                <w:rFonts w:hint="eastAsia"/>
                <w:spacing w:val="-6"/>
                <w:sz w:val="18"/>
                <w:szCs w:val="18"/>
                <w:lang w:eastAsia="zh-CN"/>
              </w:rPr>
              <w:t>根据实际生产原料进行描述</w:t>
            </w:r>
          </w:p>
        </w:tc>
      </w:tr>
      <w:tr w14:paraId="1BF7D0D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56F86C6B">
            <w:pPr>
              <w:pStyle w:val="3"/>
              <w:spacing w:line="360" w:lineRule="auto"/>
              <w:jc w:val="center"/>
              <w:rPr>
                <w:rFonts w:hint="eastAsia"/>
                <w:spacing w:val="-6"/>
                <w:sz w:val="18"/>
                <w:szCs w:val="18"/>
                <w:lang w:eastAsia="zh-CN"/>
              </w:rPr>
            </w:pPr>
            <w:r>
              <w:rPr>
                <w:rFonts w:hint="eastAsia"/>
                <w:spacing w:val="-6"/>
                <w:sz w:val="18"/>
                <w:szCs w:val="18"/>
                <w:lang w:eastAsia="zh-CN"/>
              </w:rPr>
              <w:t>水分及挥发物含量（</w:t>
            </w:r>
            <w:r>
              <w:rPr>
                <w:spacing w:val="-6"/>
                <w:sz w:val="18"/>
                <w:szCs w:val="18"/>
                <w:lang w:eastAsia="zh-CN"/>
              </w:rPr>
              <w:t>%</w:t>
            </w:r>
            <w:r>
              <w:rPr>
                <w:rFonts w:hint="eastAsia"/>
                <w:spacing w:val="-6"/>
                <w:sz w:val="18"/>
                <w:szCs w:val="18"/>
                <w:lang w:eastAsia="zh-CN"/>
              </w:rPr>
              <w:t>）</w:t>
            </w:r>
          </w:p>
        </w:tc>
        <w:tc>
          <w:tcPr>
            <w:tcW w:w="1559" w:type="dxa"/>
            <w:vAlign w:val="center"/>
          </w:tcPr>
          <w:p w14:paraId="0BBBF26A">
            <w:pPr>
              <w:pStyle w:val="3"/>
              <w:spacing w:line="360" w:lineRule="auto"/>
              <w:jc w:val="center"/>
              <w:rPr>
                <w:rFonts w:hint="eastAsia"/>
                <w:spacing w:val="-6"/>
                <w:sz w:val="18"/>
                <w:szCs w:val="18"/>
                <w:lang w:eastAsia="zh-CN"/>
              </w:rPr>
            </w:pPr>
            <w:r>
              <w:rPr>
                <w:rFonts w:hint="eastAsia"/>
                <w:spacing w:val="-6"/>
                <w:sz w:val="18"/>
                <w:szCs w:val="18"/>
                <w:lang w:eastAsia="zh-CN"/>
              </w:rPr>
              <w:t>≤0.10</w:t>
            </w:r>
          </w:p>
        </w:tc>
        <w:tc>
          <w:tcPr>
            <w:tcW w:w="2268" w:type="dxa"/>
            <w:vAlign w:val="center"/>
          </w:tcPr>
          <w:p w14:paraId="36103F72">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6AAD1315">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42BBBA6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72FD2626">
            <w:pPr>
              <w:pStyle w:val="3"/>
              <w:spacing w:line="360" w:lineRule="auto"/>
              <w:jc w:val="center"/>
              <w:rPr>
                <w:rFonts w:hint="eastAsia"/>
                <w:spacing w:val="-6"/>
                <w:sz w:val="18"/>
                <w:szCs w:val="18"/>
                <w:lang w:eastAsia="zh-CN"/>
              </w:rPr>
            </w:pPr>
            <w:r>
              <w:rPr>
                <w:rFonts w:hint="eastAsia"/>
                <w:spacing w:val="-6"/>
                <w:sz w:val="18"/>
                <w:szCs w:val="18"/>
                <w:lang w:eastAsia="zh-CN"/>
              </w:rPr>
              <w:t>不溶性杂质含量（</w:t>
            </w:r>
            <w:r>
              <w:rPr>
                <w:spacing w:val="-6"/>
                <w:sz w:val="18"/>
                <w:szCs w:val="18"/>
                <w:lang w:eastAsia="zh-CN"/>
              </w:rPr>
              <w:t>%</w:t>
            </w:r>
            <w:r>
              <w:rPr>
                <w:rFonts w:hint="eastAsia"/>
                <w:spacing w:val="-6"/>
                <w:sz w:val="18"/>
                <w:szCs w:val="18"/>
                <w:lang w:eastAsia="zh-CN"/>
              </w:rPr>
              <w:t>）</w:t>
            </w:r>
          </w:p>
        </w:tc>
        <w:tc>
          <w:tcPr>
            <w:tcW w:w="1559" w:type="dxa"/>
            <w:vAlign w:val="center"/>
          </w:tcPr>
          <w:p w14:paraId="65BC2163">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w:t>
            </w:r>
            <w:r>
              <w:rPr>
                <w:rFonts w:hint="eastAsia"/>
                <w:spacing w:val="-6"/>
                <w:sz w:val="18"/>
                <w:szCs w:val="18"/>
                <w:lang w:eastAsia="zh-CN"/>
              </w:rPr>
              <w:t>05</w:t>
            </w:r>
          </w:p>
        </w:tc>
        <w:tc>
          <w:tcPr>
            <w:tcW w:w="2268" w:type="dxa"/>
            <w:vAlign w:val="center"/>
          </w:tcPr>
          <w:p w14:paraId="4F81A116">
            <w:pPr>
              <w:pStyle w:val="3"/>
              <w:spacing w:line="360" w:lineRule="auto"/>
              <w:jc w:val="center"/>
              <w:rPr>
                <w:rFonts w:hint="eastAsia"/>
                <w:spacing w:val="-6"/>
                <w:sz w:val="18"/>
                <w:szCs w:val="18"/>
                <w:lang w:eastAsia="zh-CN"/>
              </w:rPr>
            </w:pPr>
            <w:r>
              <w:rPr>
                <w:rFonts w:hint="eastAsia"/>
                <w:spacing w:val="-6"/>
                <w:sz w:val="18"/>
                <w:szCs w:val="18"/>
                <w:lang w:eastAsia="zh-CN"/>
              </w:rPr>
              <w:t>≤</w:t>
            </w:r>
            <w:r>
              <w:rPr>
                <w:spacing w:val="-6"/>
                <w:sz w:val="18"/>
                <w:szCs w:val="18"/>
                <w:lang w:eastAsia="zh-CN"/>
              </w:rPr>
              <w:t>0.20</w:t>
            </w:r>
          </w:p>
        </w:tc>
        <w:tc>
          <w:tcPr>
            <w:tcW w:w="2603" w:type="dxa"/>
            <w:vAlign w:val="center"/>
          </w:tcPr>
          <w:p w14:paraId="1811479A">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1FF54E7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47A2F977">
            <w:pPr>
              <w:pStyle w:val="3"/>
              <w:spacing w:line="360" w:lineRule="auto"/>
              <w:jc w:val="center"/>
              <w:rPr>
                <w:rFonts w:hint="eastAsia"/>
                <w:spacing w:val="-6"/>
                <w:sz w:val="18"/>
                <w:szCs w:val="18"/>
                <w:lang w:eastAsia="zh-CN"/>
              </w:rPr>
            </w:pPr>
            <w:r>
              <w:rPr>
                <w:rFonts w:hint="eastAsia"/>
                <w:spacing w:val="-6"/>
                <w:sz w:val="18"/>
                <w:szCs w:val="18"/>
                <w:lang w:eastAsia="zh-CN"/>
              </w:rPr>
              <w:t>生育酚（mg/kg）</w:t>
            </w:r>
          </w:p>
        </w:tc>
        <w:tc>
          <w:tcPr>
            <w:tcW w:w="1559" w:type="dxa"/>
            <w:vAlign w:val="center"/>
          </w:tcPr>
          <w:p w14:paraId="5F63A96B">
            <w:pPr>
              <w:pStyle w:val="3"/>
              <w:spacing w:line="360" w:lineRule="auto"/>
              <w:jc w:val="center"/>
              <w:rPr>
                <w:rFonts w:hint="eastAsia"/>
                <w:spacing w:val="-6"/>
                <w:sz w:val="18"/>
                <w:szCs w:val="18"/>
                <w:lang w:eastAsia="zh-CN"/>
              </w:rPr>
            </w:pPr>
            <w:r>
              <w:rPr>
                <w:rFonts w:hint="eastAsia"/>
                <w:spacing w:val="-6"/>
                <w:sz w:val="18"/>
                <w:szCs w:val="18"/>
                <w:lang w:eastAsia="zh-CN"/>
              </w:rPr>
              <w:t>≥50.0</w:t>
            </w:r>
          </w:p>
        </w:tc>
        <w:tc>
          <w:tcPr>
            <w:tcW w:w="2268" w:type="dxa"/>
            <w:vAlign w:val="center"/>
          </w:tcPr>
          <w:p w14:paraId="55C1889E">
            <w:pPr>
              <w:pStyle w:val="3"/>
              <w:spacing w:line="360" w:lineRule="auto"/>
              <w:jc w:val="center"/>
              <w:rPr>
                <w:rFonts w:hint="eastAsia"/>
                <w:spacing w:val="-6"/>
                <w:sz w:val="18"/>
                <w:szCs w:val="18"/>
                <w:lang w:eastAsia="zh-CN"/>
              </w:rPr>
            </w:pPr>
            <w:r>
              <w:rPr>
                <w:rFonts w:hint="eastAsia"/>
                <w:spacing w:val="-6"/>
                <w:sz w:val="18"/>
                <w:szCs w:val="18"/>
                <w:lang w:eastAsia="zh-CN"/>
              </w:rPr>
              <w:t>≥30</w:t>
            </w:r>
          </w:p>
        </w:tc>
        <w:tc>
          <w:tcPr>
            <w:tcW w:w="2603" w:type="dxa"/>
          </w:tcPr>
          <w:p w14:paraId="731FCC65">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r w14:paraId="7B306E2B">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c>
          <w:tcPr>
            <w:tcW w:w="2093" w:type="dxa"/>
            <w:vAlign w:val="center"/>
          </w:tcPr>
          <w:p w14:paraId="02006360">
            <w:pPr>
              <w:pStyle w:val="3"/>
              <w:spacing w:line="360" w:lineRule="auto"/>
              <w:jc w:val="center"/>
              <w:rPr>
                <w:rFonts w:hint="eastAsia"/>
                <w:spacing w:val="-6"/>
                <w:sz w:val="18"/>
                <w:szCs w:val="18"/>
                <w:lang w:eastAsia="zh-CN"/>
              </w:rPr>
            </w:pPr>
            <w:r>
              <w:rPr>
                <w:rFonts w:hint="eastAsia"/>
                <w:spacing w:val="-6"/>
                <w:sz w:val="18"/>
                <w:szCs w:val="18"/>
                <w:lang w:eastAsia="zh-CN"/>
              </w:rPr>
              <w:t>角鲨烯（mg/kg）</w:t>
            </w:r>
          </w:p>
        </w:tc>
        <w:tc>
          <w:tcPr>
            <w:tcW w:w="1559" w:type="dxa"/>
            <w:vAlign w:val="center"/>
          </w:tcPr>
          <w:p w14:paraId="5AC899AE">
            <w:pPr>
              <w:pStyle w:val="3"/>
              <w:spacing w:line="360" w:lineRule="auto"/>
              <w:jc w:val="center"/>
              <w:rPr>
                <w:rFonts w:hint="eastAsia"/>
                <w:spacing w:val="-6"/>
                <w:sz w:val="18"/>
                <w:szCs w:val="18"/>
                <w:lang w:eastAsia="zh-CN"/>
              </w:rPr>
            </w:pPr>
            <w:r>
              <w:rPr>
                <w:rFonts w:hint="eastAsia"/>
                <w:spacing w:val="-6"/>
                <w:sz w:val="18"/>
                <w:szCs w:val="18"/>
                <w:lang w:eastAsia="zh-CN"/>
              </w:rPr>
              <w:t>≥30.0</w:t>
            </w:r>
          </w:p>
        </w:tc>
        <w:tc>
          <w:tcPr>
            <w:tcW w:w="2268" w:type="dxa"/>
            <w:vAlign w:val="center"/>
          </w:tcPr>
          <w:p w14:paraId="6C4A7B42">
            <w:pPr>
              <w:pStyle w:val="3"/>
              <w:spacing w:line="360" w:lineRule="auto"/>
              <w:jc w:val="center"/>
              <w:rPr>
                <w:rFonts w:hint="eastAsia"/>
                <w:spacing w:val="-6"/>
                <w:sz w:val="18"/>
                <w:szCs w:val="18"/>
                <w:lang w:eastAsia="zh-CN"/>
              </w:rPr>
            </w:pPr>
            <w:r>
              <w:rPr>
                <w:rFonts w:hint="eastAsia"/>
                <w:spacing w:val="-6"/>
                <w:sz w:val="18"/>
                <w:szCs w:val="18"/>
                <w:lang w:eastAsia="zh-CN"/>
              </w:rPr>
              <w:t>≥20</w:t>
            </w:r>
          </w:p>
        </w:tc>
        <w:tc>
          <w:tcPr>
            <w:tcW w:w="2603" w:type="dxa"/>
          </w:tcPr>
          <w:p w14:paraId="45439926">
            <w:pPr>
              <w:pStyle w:val="3"/>
              <w:spacing w:line="360" w:lineRule="auto"/>
              <w:jc w:val="center"/>
              <w:rPr>
                <w:rFonts w:hint="eastAsia"/>
                <w:spacing w:val="-6"/>
                <w:sz w:val="18"/>
                <w:szCs w:val="18"/>
                <w:lang w:eastAsia="zh-CN"/>
              </w:rPr>
            </w:pPr>
            <w:r>
              <w:rPr>
                <w:rFonts w:hint="eastAsia"/>
                <w:spacing w:val="-6"/>
                <w:sz w:val="18"/>
                <w:szCs w:val="18"/>
                <w:lang w:eastAsia="zh-CN"/>
              </w:rPr>
              <w:t>根据实际检测结果设置</w:t>
            </w:r>
          </w:p>
        </w:tc>
      </w:tr>
    </w:tbl>
    <w:p w14:paraId="542EBCD6">
      <w:pPr>
        <w:pStyle w:val="3"/>
        <w:spacing w:line="360" w:lineRule="auto"/>
        <w:jc w:val="center"/>
        <w:rPr>
          <w:rFonts w:hint="eastAsia"/>
          <w:spacing w:val="-6"/>
          <w:lang w:eastAsia="zh-CN"/>
        </w:rPr>
      </w:pPr>
    </w:p>
    <w:p w14:paraId="5D5D7B91">
      <w:pPr>
        <w:widowControl w:val="0"/>
        <w:ind w:firstLine="416" w:firstLineChars="200"/>
        <w:rPr>
          <w:rFonts w:ascii="仿宋" w:hAnsi="仿宋" w:eastAsia="仿宋" w:cs="仿宋"/>
          <w:spacing w:val="-1"/>
          <w:lang w:eastAsia="zh-CN"/>
        </w:rPr>
      </w:pPr>
      <w:r>
        <w:rPr>
          <w:rFonts w:hint="eastAsia" w:ascii="仿宋" w:hAnsi="仿宋" w:eastAsia="仿宋" w:cs="仿宋"/>
          <w:spacing w:val="-1"/>
          <w:lang w:eastAsia="zh-CN"/>
        </w:rPr>
        <w:t>以上3个团体标准所规定的化妆品用料油茶籽油特征性成分生育酚、角鲨烯等指标的含量较高，甚至未指明范围，通过走访相关油茶籽油生产企业得知，化妆品行业多使用精炼度高的油茶籽油作为化妆品原料，精炼度越高，油茶籽油的颜色越浅，气味越淡，更适合用于化妆品，而精炼程度越高，油茶籽油中的特征性成分生育酚、角鲨烯的含量就越低。根据文献资料显示，部分地区的油茶籽油的生育酚、角鲨烯指标无法满足</w:t>
      </w:r>
      <w:r>
        <w:rPr>
          <w:rFonts w:ascii="仿宋" w:hAnsi="仿宋" w:eastAsia="仿宋" w:cs="仿宋"/>
          <w:spacing w:val="-1"/>
          <w:lang w:eastAsia="zh-CN"/>
        </w:rPr>
        <w:t>T/ZJDAIR 003-2023</w:t>
      </w:r>
      <w:r>
        <w:rPr>
          <w:rFonts w:hint="eastAsia" w:ascii="仿宋" w:hAnsi="仿宋" w:eastAsia="仿宋" w:cs="仿宋"/>
          <w:spacing w:val="-1"/>
          <w:lang w:eastAsia="zh-CN"/>
        </w:rPr>
        <w:t>和</w:t>
      </w:r>
      <w:r>
        <w:rPr>
          <w:rFonts w:ascii="仿宋" w:hAnsi="仿宋" w:eastAsia="仿宋" w:cs="仿宋"/>
          <w:spacing w:val="-1"/>
          <w:lang w:eastAsia="zh-CN"/>
        </w:rPr>
        <w:t>T/SHRH 037-2021</w:t>
      </w:r>
      <w:r>
        <w:rPr>
          <w:rFonts w:hint="eastAsia" w:ascii="仿宋" w:hAnsi="仿宋" w:eastAsia="仿宋" w:cs="仿宋"/>
          <w:spacing w:val="-1"/>
          <w:lang w:eastAsia="zh-CN"/>
        </w:rPr>
        <w:t>的要求，所以为了普适性，将指标值限定在较低范围。</w:t>
      </w:r>
    </w:p>
    <w:p w14:paraId="6CE0B750">
      <w:pPr>
        <w:widowControl w:val="0"/>
        <w:ind w:firstLine="416" w:firstLineChars="200"/>
        <w:rPr>
          <w:rFonts w:hint="eastAsia" w:ascii="仿宋" w:hAnsi="仿宋" w:eastAsia="仿宋" w:cs="仿宋"/>
          <w:spacing w:val="-1"/>
          <w:lang w:eastAsia="zh-CN"/>
        </w:rPr>
      </w:pP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46B05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Borders>
              <w:tl2br w:val="single" w:color="auto" w:sz="4" w:space="0"/>
            </w:tcBorders>
            <w:vAlign w:val="center"/>
          </w:tcPr>
          <w:p w14:paraId="40FC70E4">
            <w:pPr>
              <w:widowControl w:val="0"/>
              <w:jc w:val="center"/>
              <w:rPr>
                <w:rFonts w:ascii="Times New Roman" w:hAnsi="Times New Roman" w:eastAsia="宋体" w:cs="Times New Roman"/>
              </w:rPr>
            </w:pPr>
            <w:r>
              <w:rPr>
                <w:rFonts w:hint="eastAsia" w:ascii="Times New Roman" w:hAnsi="Times New Roman" w:eastAsia="宋体" w:cs="Times New Roman"/>
                <w:lang w:eastAsia="zh-CN"/>
              </w:rPr>
              <w:t xml:space="preserve">        </w:t>
            </w:r>
            <w:r>
              <w:rPr>
                <w:rFonts w:hint="eastAsia" w:ascii="Times New Roman" w:hAnsi="Times New Roman" w:eastAsia="宋体" w:cs="Times New Roman"/>
              </w:rPr>
              <w:t>标准号</w:t>
            </w:r>
          </w:p>
          <w:p w14:paraId="480587BA">
            <w:pPr>
              <w:widowControl w:val="0"/>
              <w:jc w:val="both"/>
              <w:rPr>
                <w:rFonts w:ascii="Times New Roman" w:hAnsi="Times New Roman" w:eastAsia="宋体" w:cs="Times New Roman"/>
              </w:rPr>
            </w:pPr>
            <w:r>
              <w:rPr>
                <w:rFonts w:hint="eastAsia" w:ascii="Times New Roman" w:hAnsi="Times New Roman" w:eastAsia="宋体" w:cs="Times New Roman"/>
              </w:rPr>
              <w:t>指标名称</w:t>
            </w:r>
          </w:p>
        </w:tc>
        <w:tc>
          <w:tcPr>
            <w:tcW w:w="1704" w:type="dxa"/>
            <w:vAlign w:val="center"/>
          </w:tcPr>
          <w:p w14:paraId="77D6B005">
            <w:pPr>
              <w:widowControl w:val="0"/>
              <w:jc w:val="center"/>
              <w:rPr>
                <w:rFonts w:hint="eastAsia" w:ascii="仿宋" w:hAnsi="仿宋" w:eastAsia="仿宋" w:cs="仿宋"/>
                <w:lang w:eastAsia="zh-CN"/>
              </w:rPr>
            </w:pPr>
            <w:r>
              <w:rPr>
                <w:rFonts w:hint="eastAsia" w:ascii="仿宋" w:hAnsi="仿宋" w:eastAsia="仿宋" w:cs="仿宋"/>
                <w:lang w:eastAsia="zh-CN"/>
              </w:rPr>
              <w:t>本团体标准</w:t>
            </w:r>
          </w:p>
        </w:tc>
        <w:tc>
          <w:tcPr>
            <w:tcW w:w="1704" w:type="dxa"/>
            <w:vAlign w:val="center"/>
          </w:tcPr>
          <w:p w14:paraId="6DBEABB3">
            <w:pPr>
              <w:widowControl w:val="0"/>
              <w:jc w:val="center"/>
              <w:rPr>
                <w:rFonts w:hint="eastAsia" w:ascii="仿宋" w:hAnsi="仿宋" w:eastAsia="仿宋" w:cs="仿宋"/>
              </w:rPr>
            </w:pPr>
            <w:r>
              <w:rPr>
                <w:rFonts w:hint="eastAsia" w:ascii="仿宋" w:hAnsi="仿宋" w:eastAsia="仿宋" w:cs="仿宋"/>
              </w:rPr>
              <w:t>T/ZJDAIR 003-2023</w:t>
            </w:r>
          </w:p>
        </w:tc>
        <w:tc>
          <w:tcPr>
            <w:tcW w:w="1705" w:type="dxa"/>
            <w:vAlign w:val="center"/>
          </w:tcPr>
          <w:p w14:paraId="0AC3535A">
            <w:pPr>
              <w:widowControl w:val="0"/>
              <w:jc w:val="center"/>
              <w:rPr>
                <w:rFonts w:hint="eastAsia" w:ascii="仿宋" w:hAnsi="仿宋" w:eastAsia="仿宋" w:cs="仿宋"/>
              </w:rPr>
            </w:pPr>
            <w:r>
              <w:rPr>
                <w:rFonts w:hint="eastAsia" w:ascii="仿宋" w:hAnsi="仿宋" w:eastAsia="仿宋" w:cs="仿宋"/>
              </w:rPr>
              <w:t>T/SHRH 037-2021</w:t>
            </w:r>
          </w:p>
        </w:tc>
        <w:tc>
          <w:tcPr>
            <w:tcW w:w="1705" w:type="dxa"/>
            <w:vAlign w:val="center"/>
          </w:tcPr>
          <w:p w14:paraId="72442661">
            <w:pPr>
              <w:widowControl w:val="0"/>
              <w:jc w:val="center"/>
              <w:rPr>
                <w:rFonts w:hint="eastAsia" w:ascii="仿宋" w:hAnsi="仿宋" w:eastAsia="仿宋" w:cs="仿宋"/>
              </w:rPr>
            </w:pPr>
            <w:r>
              <w:rPr>
                <w:rFonts w:hint="eastAsia" w:ascii="仿宋" w:hAnsi="仿宋" w:eastAsia="仿宋" w:cs="仿宋"/>
              </w:rPr>
              <w:t>T/SGLYCYX 001-2024</w:t>
            </w:r>
          </w:p>
        </w:tc>
      </w:tr>
      <w:tr w14:paraId="14BCC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7F12BCAD">
            <w:pPr>
              <w:widowControl w:val="0"/>
              <w:jc w:val="center"/>
              <w:rPr>
                <w:rFonts w:ascii="Times New Roman" w:hAnsi="Times New Roman" w:eastAsia="宋体" w:cs="Times New Roman"/>
                <w:lang w:eastAsia="zh-CN"/>
              </w:rPr>
            </w:pPr>
            <w:r>
              <w:rPr>
                <w:rFonts w:hint="eastAsia" w:ascii="Times New Roman" w:hAnsi="Times New Roman" w:eastAsia="宋体" w:cs="Times New Roman"/>
                <w:lang w:eastAsia="zh-CN"/>
              </w:rPr>
              <w:t>生育酚</w:t>
            </w:r>
          </w:p>
        </w:tc>
        <w:tc>
          <w:tcPr>
            <w:tcW w:w="1704" w:type="dxa"/>
            <w:vAlign w:val="center"/>
          </w:tcPr>
          <w:p w14:paraId="55A0929E">
            <w:pPr>
              <w:widowControl w:val="0"/>
              <w:jc w:val="center"/>
              <w:rPr>
                <w:rFonts w:hint="eastAsia" w:ascii="仿宋" w:hAnsi="仿宋" w:eastAsia="仿宋" w:cs="仿宋"/>
              </w:rPr>
            </w:pPr>
            <w:r>
              <w:rPr>
                <w:rFonts w:hint="eastAsia" w:ascii="仿宋" w:hAnsi="仿宋" w:eastAsia="仿宋" w:cs="仿宋"/>
              </w:rPr>
              <w:t>≥30mg/kg</w:t>
            </w:r>
          </w:p>
        </w:tc>
        <w:tc>
          <w:tcPr>
            <w:tcW w:w="1704" w:type="dxa"/>
            <w:vAlign w:val="center"/>
          </w:tcPr>
          <w:p w14:paraId="2EB3BC26">
            <w:pPr>
              <w:widowControl w:val="0"/>
              <w:jc w:val="center"/>
              <w:rPr>
                <w:rFonts w:hint="eastAsia" w:ascii="仿宋" w:hAnsi="仿宋" w:eastAsia="仿宋" w:cs="仿宋"/>
              </w:rPr>
            </w:pPr>
            <w:r>
              <w:rPr>
                <w:rFonts w:hint="eastAsia" w:ascii="仿宋" w:hAnsi="仿宋" w:eastAsia="仿宋" w:cs="仿宋"/>
              </w:rPr>
              <w:t>压榨≥50mg/kg，浸出≥50mg/kg</w:t>
            </w:r>
          </w:p>
        </w:tc>
        <w:tc>
          <w:tcPr>
            <w:tcW w:w="1705" w:type="dxa"/>
            <w:vAlign w:val="center"/>
          </w:tcPr>
          <w:p w14:paraId="6336A944">
            <w:pPr>
              <w:widowControl w:val="0"/>
              <w:jc w:val="center"/>
              <w:rPr>
                <w:rFonts w:hint="eastAsia" w:ascii="仿宋" w:hAnsi="仿宋" w:eastAsia="仿宋" w:cs="仿宋"/>
              </w:rPr>
            </w:pPr>
            <w:r>
              <w:rPr>
                <w:rFonts w:hint="eastAsia" w:ascii="仿宋" w:hAnsi="仿宋" w:eastAsia="仿宋" w:cs="仿宋"/>
              </w:rPr>
              <w:t>≥</w:t>
            </w:r>
            <w:r>
              <w:rPr>
                <w:rFonts w:hint="eastAsia" w:ascii="仿宋" w:hAnsi="仿宋" w:eastAsia="仿宋" w:cs="仿宋"/>
                <w:lang w:eastAsia="zh-CN"/>
              </w:rPr>
              <w:t>5</w:t>
            </w:r>
            <w:r>
              <w:rPr>
                <w:rFonts w:hint="eastAsia" w:ascii="仿宋" w:hAnsi="仿宋" w:eastAsia="仿宋" w:cs="仿宋"/>
              </w:rPr>
              <w:t>0mg/kg</w:t>
            </w:r>
          </w:p>
        </w:tc>
        <w:tc>
          <w:tcPr>
            <w:tcW w:w="1705" w:type="dxa"/>
            <w:vAlign w:val="center"/>
          </w:tcPr>
          <w:p w14:paraId="6A6B8951">
            <w:pPr>
              <w:widowControl w:val="0"/>
              <w:jc w:val="center"/>
              <w:rPr>
                <w:rFonts w:hint="eastAsia" w:ascii="仿宋" w:hAnsi="仿宋" w:eastAsia="仿宋" w:cs="仿宋"/>
              </w:rPr>
            </w:pPr>
            <w:r>
              <w:rPr>
                <w:rFonts w:hint="eastAsia" w:ascii="仿宋" w:hAnsi="仿宋" w:eastAsia="仿宋" w:cs="仿宋"/>
              </w:rPr>
              <w:t>未指明</w:t>
            </w:r>
          </w:p>
        </w:tc>
      </w:tr>
      <w:tr w14:paraId="12EF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center"/>
          </w:tcPr>
          <w:p w14:paraId="600AFB27">
            <w:pPr>
              <w:widowControl w:val="0"/>
              <w:jc w:val="center"/>
              <w:rPr>
                <w:rFonts w:ascii="Times New Roman" w:hAnsi="Times New Roman" w:eastAsia="宋体" w:cs="Times New Roman"/>
                <w:lang w:eastAsia="zh-CN"/>
              </w:rPr>
            </w:pPr>
            <w:r>
              <w:rPr>
                <w:rFonts w:hint="eastAsia" w:ascii="Times New Roman" w:hAnsi="Times New Roman" w:eastAsia="宋体" w:cs="Times New Roman"/>
                <w:lang w:eastAsia="zh-CN"/>
              </w:rPr>
              <w:t>角鲨烯</w:t>
            </w:r>
          </w:p>
        </w:tc>
        <w:tc>
          <w:tcPr>
            <w:tcW w:w="1704" w:type="dxa"/>
            <w:vAlign w:val="center"/>
          </w:tcPr>
          <w:p w14:paraId="71D0C319">
            <w:pPr>
              <w:widowControl w:val="0"/>
              <w:jc w:val="center"/>
              <w:rPr>
                <w:rFonts w:hint="eastAsia" w:ascii="仿宋" w:hAnsi="仿宋" w:eastAsia="仿宋" w:cs="仿宋"/>
              </w:rPr>
            </w:pPr>
            <w:r>
              <w:rPr>
                <w:rFonts w:hint="eastAsia" w:ascii="仿宋" w:hAnsi="仿宋" w:eastAsia="仿宋" w:cs="仿宋"/>
              </w:rPr>
              <w:t>≥</w:t>
            </w:r>
            <w:r>
              <w:rPr>
                <w:rFonts w:hint="eastAsia" w:ascii="仿宋" w:hAnsi="仿宋" w:eastAsia="仿宋" w:cs="仿宋"/>
                <w:lang w:eastAsia="zh-CN"/>
              </w:rPr>
              <w:t>2</w:t>
            </w:r>
            <w:r>
              <w:rPr>
                <w:rFonts w:hint="eastAsia" w:ascii="仿宋" w:hAnsi="仿宋" w:eastAsia="仿宋" w:cs="仿宋"/>
              </w:rPr>
              <w:t>0mg/kg</w:t>
            </w:r>
          </w:p>
        </w:tc>
        <w:tc>
          <w:tcPr>
            <w:tcW w:w="1704" w:type="dxa"/>
            <w:vAlign w:val="center"/>
          </w:tcPr>
          <w:p w14:paraId="5234ADE0">
            <w:pPr>
              <w:widowControl w:val="0"/>
              <w:jc w:val="center"/>
              <w:rPr>
                <w:rFonts w:hint="eastAsia" w:ascii="仿宋" w:hAnsi="仿宋" w:eastAsia="仿宋" w:cs="仿宋"/>
              </w:rPr>
            </w:pPr>
            <w:r>
              <w:rPr>
                <w:rFonts w:hint="eastAsia" w:ascii="仿宋" w:hAnsi="仿宋" w:eastAsia="仿宋" w:cs="仿宋"/>
              </w:rPr>
              <w:t>压榨≥50mg/kg，浸出≥50mg/kg</w:t>
            </w:r>
          </w:p>
        </w:tc>
        <w:tc>
          <w:tcPr>
            <w:tcW w:w="1705" w:type="dxa"/>
            <w:vAlign w:val="center"/>
          </w:tcPr>
          <w:p w14:paraId="5F352CA9">
            <w:pPr>
              <w:widowControl w:val="0"/>
              <w:jc w:val="center"/>
              <w:rPr>
                <w:rFonts w:hint="eastAsia" w:ascii="仿宋" w:hAnsi="仿宋" w:eastAsia="仿宋" w:cs="仿宋"/>
              </w:rPr>
            </w:pPr>
            <w:r>
              <w:rPr>
                <w:rFonts w:hint="eastAsia" w:ascii="仿宋" w:hAnsi="仿宋" w:eastAsia="仿宋" w:cs="仿宋"/>
              </w:rPr>
              <w:t>≥30mg/kg</w:t>
            </w:r>
          </w:p>
        </w:tc>
        <w:tc>
          <w:tcPr>
            <w:tcW w:w="1705" w:type="dxa"/>
            <w:vAlign w:val="center"/>
          </w:tcPr>
          <w:p w14:paraId="037339ED">
            <w:pPr>
              <w:widowControl w:val="0"/>
              <w:jc w:val="center"/>
              <w:rPr>
                <w:rFonts w:hint="eastAsia" w:ascii="仿宋" w:hAnsi="仿宋" w:eastAsia="仿宋" w:cs="仿宋"/>
              </w:rPr>
            </w:pPr>
            <w:r>
              <w:rPr>
                <w:rFonts w:hint="eastAsia" w:ascii="仿宋" w:hAnsi="仿宋" w:eastAsia="仿宋" w:cs="仿宋"/>
              </w:rPr>
              <w:t>未指明</w:t>
            </w:r>
          </w:p>
        </w:tc>
      </w:tr>
    </w:tbl>
    <w:p w14:paraId="59EDC892">
      <w:pPr>
        <w:pStyle w:val="3"/>
        <w:spacing w:line="360" w:lineRule="auto"/>
        <w:ind w:firstLine="416" w:firstLineChars="200"/>
        <w:jc w:val="both"/>
        <w:rPr>
          <w:rFonts w:hint="eastAsia"/>
          <w:spacing w:val="-1"/>
          <w:lang w:eastAsia="zh-CN"/>
        </w:rPr>
      </w:pPr>
    </w:p>
    <w:p w14:paraId="7FCF3894">
      <w:pPr>
        <w:spacing w:line="360" w:lineRule="auto"/>
        <w:outlineLvl w:val="1"/>
        <w:rPr>
          <w:rFonts w:hint="eastAsia" w:ascii="宋体" w:hAnsi="宋体" w:eastAsia="宋体" w:cs="宋体"/>
          <w:b/>
          <w:bCs/>
          <w:spacing w:val="-13"/>
          <w:sz w:val="24"/>
          <w:szCs w:val="24"/>
          <w:lang w:eastAsia="zh-CN"/>
        </w:rPr>
      </w:pPr>
    </w:p>
    <w:p w14:paraId="5AA09050">
      <w:pPr>
        <w:spacing w:line="360" w:lineRule="auto"/>
        <w:outlineLvl w:val="1"/>
        <w:rPr>
          <w:rFonts w:ascii="宋体" w:hAnsi="宋体" w:eastAsia="宋体" w:cs="宋体"/>
          <w:b/>
          <w:bCs/>
          <w:spacing w:val="-13"/>
          <w:sz w:val="24"/>
          <w:szCs w:val="24"/>
          <w:lang w:eastAsia="zh-CN"/>
        </w:rPr>
      </w:pPr>
      <w:r>
        <w:rPr>
          <w:rFonts w:ascii="宋体" w:hAnsi="宋体" w:eastAsia="宋体" w:cs="宋体"/>
          <w:b/>
          <w:bCs/>
          <w:spacing w:val="-13"/>
          <w:sz w:val="24"/>
          <w:szCs w:val="24"/>
          <w:lang w:eastAsia="zh-CN"/>
        </w:rPr>
        <w:t>三、</w:t>
      </w:r>
      <w:r>
        <w:rPr>
          <w:rFonts w:hint="eastAsia" w:ascii="宋体" w:hAnsi="宋体" w:eastAsia="宋体" w:cs="宋体"/>
          <w:b/>
          <w:bCs/>
          <w:spacing w:val="-13"/>
          <w:sz w:val="24"/>
          <w:szCs w:val="24"/>
          <w:lang w:eastAsia="zh-CN"/>
        </w:rPr>
        <w:t>标准适用范围</w:t>
      </w:r>
    </w:p>
    <w:p w14:paraId="05757D91">
      <w:pPr>
        <w:spacing w:line="360" w:lineRule="auto"/>
        <w:outlineLvl w:val="1"/>
        <w:rPr>
          <w:rFonts w:hint="eastAsia" w:ascii="仿宋" w:hAnsi="仿宋" w:eastAsia="仿宋" w:cs="仿宋"/>
          <w:spacing w:val="-1"/>
          <w:lang w:eastAsia="zh-CN"/>
        </w:rPr>
      </w:pPr>
      <w:r>
        <w:rPr>
          <w:rFonts w:hint="eastAsia" w:ascii="宋体" w:hAnsi="宋体" w:eastAsia="宋体" w:cs="宋体"/>
          <w:b/>
          <w:bCs/>
          <w:spacing w:val="-13"/>
          <w:sz w:val="24"/>
          <w:szCs w:val="24"/>
          <w:lang w:eastAsia="zh-CN"/>
        </w:rPr>
        <w:t xml:space="preserve">  </w:t>
      </w:r>
      <w:r>
        <w:rPr>
          <w:rFonts w:hint="eastAsia" w:ascii="仿宋" w:hAnsi="仿宋" w:eastAsia="仿宋" w:cs="仿宋"/>
          <w:spacing w:val="-1"/>
          <w:lang w:eastAsia="zh-CN"/>
        </w:rPr>
        <w:t>本标准所述油茶籽油以山茶科山茶属油茶（</w:t>
      </w:r>
      <w:r>
        <w:rPr>
          <w:rFonts w:ascii="仿宋" w:hAnsi="仿宋" w:eastAsia="仿宋" w:cs="仿宋"/>
          <w:i/>
          <w:iCs/>
          <w:spacing w:val="-1"/>
          <w:lang w:eastAsia="zh-CN"/>
        </w:rPr>
        <w:t>Camellia oleifera</w:t>
      </w:r>
      <w:r>
        <w:rPr>
          <w:rFonts w:ascii="仿宋" w:hAnsi="仿宋" w:eastAsia="仿宋" w:cs="仿宋"/>
          <w:spacing w:val="-1"/>
          <w:lang w:eastAsia="zh-CN"/>
        </w:rPr>
        <w:t xml:space="preserve"> Abel.</w:t>
      </w:r>
      <w:r>
        <w:rPr>
          <w:rFonts w:hint="eastAsia" w:ascii="仿宋" w:hAnsi="仿宋" w:eastAsia="仿宋" w:cs="仿宋"/>
          <w:spacing w:val="-1"/>
          <w:lang w:eastAsia="zh-CN"/>
        </w:rPr>
        <w:t>）的籽实或仁为原料，先预处理后，通过物理冷榨过滤得到的初榨油茶籽油，再通过脱色、脱胶、除臭工艺后得到的精炼油茶籽油。根据本标准编写组的研究，初榨油茶籽油与精炼油茶籽油的核心理化区别在于过氧化值水平，精炼油通过脱色、脱胶、除臭工艺去除了初榨油中易氧化成分，更符合妆用要求。过氧化值：初榨油＞</w:t>
      </w:r>
      <w:r>
        <w:rPr>
          <w:rFonts w:ascii="仿宋" w:hAnsi="仿宋" w:eastAsia="仿宋" w:cs="仿宋"/>
          <w:spacing w:val="-1"/>
          <w:lang w:eastAsia="zh-CN"/>
        </w:rPr>
        <w:t xml:space="preserve">6.0 </w:t>
      </w:r>
      <w:r>
        <w:rPr>
          <w:rFonts w:hint="eastAsia" w:ascii="仿宋" w:hAnsi="仿宋" w:eastAsia="仿宋" w:cs="仿宋"/>
          <w:spacing w:val="-1"/>
          <w:lang w:eastAsia="zh-CN"/>
        </w:rPr>
        <w:t>g</w:t>
      </w:r>
      <w:r>
        <w:rPr>
          <w:rFonts w:ascii="仿宋" w:hAnsi="仿宋" w:eastAsia="仿宋" w:cs="仿宋"/>
          <w:spacing w:val="-1"/>
          <w:lang w:eastAsia="zh-CN"/>
        </w:rPr>
        <w:t>/</w:t>
      </w:r>
      <w:r>
        <w:rPr>
          <w:rFonts w:hint="eastAsia" w:ascii="仿宋" w:hAnsi="仿宋" w:eastAsia="仿宋" w:cs="仿宋"/>
          <w:spacing w:val="-1"/>
          <w:lang w:eastAsia="zh-CN"/>
        </w:rPr>
        <w:t>100</w:t>
      </w:r>
      <w:r>
        <w:rPr>
          <w:rFonts w:ascii="仿宋" w:hAnsi="仿宋" w:eastAsia="仿宋" w:cs="仿宋"/>
          <w:spacing w:val="-1"/>
          <w:lang w:eastAsia="zh-CN"/>
        </w:rPr>
        <w:t>g</w:t>
      </w:r>
      <w:r>
        <w:rPr>
          <w:rFonts w:hint="eastAsia" w:ascii="仿宋" w:hAnsi="仿宋" w:eastAsia="仿宋" w:cs="仿宋"/>
          <w:spacing w:val="-1"/>
          <w:lang w:eastAsia="zh-CN"/>
        </w:rPr>
        <w:t>，易氧化变质；精炼油需≤0.25</w:t>
      </w:r>
      <w:r>
        <w:rPr>
          <w:rFonts w:ascii="仿宋" w:hAnsi="仿宋" w:eastAsia="仿宋" w:cs="仿宋"/>
          <w:spacing w:val="-1"/>
          <w:lang w:eastAsia="zh-CN"/>
        </w:rPr>
        <w:t xml:space="preserve"> </w:t>
      </w:r>
      <w:r>
        <w:rPr>
          <w:rFonts w:hint="eastAsia" w:ascii="仿宋" w:hAnsi="仿宋" w:eastAsia="仿宋" w:cs="仿宋"/>
          <w:spacing w:val="-1"/>
          <w:lang w:eastAsia="zh-CN"/>
        </w:rPr>
        <w:t>g</w:t>
      </w:r>
      <w:r>
        <w:rPr>
          <w:rFonts w:ascii="仿宋" w:hAnsi="仿宋" w:eastAsia="仿宋" w:cs="仿宋"/>
          <w:spacing w:val="-1"/>
          <w:lang w:eastAsia="zh-CN"/>
        </w:rPr>
        <w:t>/</w:t>
      </w:r>
      <w:r>
        <w:rPr>
          <w:rFonts w:hint="eastAsia" w:ascii="仿宋" w:hAnsi="仿宋" w:eastAsia="仿宋" w:cs="仿宋"/>
          <w:spacing w:val="-1"/>
          <w:lang w:eastAsia="zh-CN"/>
        </w:rPr>
        <w:t>100</w:t>
      </w:r>
      <w:r>
        <w:rPr>
          <w:rFonts w:ascii="仿宋" w:hAnsi="仿宋" w:eastAsia="仿宋" w:cs="仿宋"/>
          <w:spacing w:val="-1"/>
          <w:lang w:eastAsia="zh-CN"/>
        </w:rPr>
        <w:t>g</w:t>
      </w:r>
      <w:r>
        <w:rPr>
          <w:rFonts w:hint="eastAsia" w:ascii="仿宋" w:hAnsi="仿宋" w:eastAsia="仿宋" w:cs="仿宋"/>
          <w:spacing w:val="-1"/>
          <w:lang w:eastAsia="zh-CN"/>
        </w:rPr>
        <w:t>，能满足相对较长的时间保持稳定。</w:t>
      </w:r>
    </w:p>
    <w:p w14:paraId="75FF01BC">
      <w:pPr>
        <w:spacing w:line="360" w:lineRule="auto"/>
        <w:outlineLvl w:val="1"/>
        <w:rPr>
          <w:rFonts w:hint="eastAsia" w:ascii="仿宋" w:hAnsi="仿宋" w:eastAsia="仿宋" w:cs="仿宋"/>
          <w:spacing w:val="-1"/>
          <w:lang w:eastAsia="zh-CN"/>
        </w:rPr>
      </w:pPr>
      <w:r>
        <w:rPr>
          <w:rFonts w:hint="eastAsia" w:ascii="仿宋" w:hAnsi="仿宋" w:eastAsia="仿宋" w:cs="仿宋"/>
          <w:spacing w:val="-1"/>
          <w:lang w:eastAsia="zh-CN"/>
        </w:rPr>
        <w:t xml:space="preserve"> </w:t>
      </w:r>
    </w:p>
    <w:p w14:paraId="483A1C7B">
      <w:pPr>
        <w:spacing w:line="360" w:lineRule="auto"/>
        <w:outlineLvl w:val="1"/>
        <w:rPr>
          <w:rFonts w:ascii="宋体" w:hAnsi="宋体" w:eastAsia="宋体" w:cs="宋体"/>
          <w:b/>
          <w:bCs/>
          <w:spacing w:val="-13"/>
          <w:sz w:val="24"/>
          <w:szCs w:val="24"/>
          <w:lang w:eastAsia="zh-CN"/>
        </w:rPr>
      </w:pPr>
    </w:p>
    <w:p w14:paraId="2BD0AD44">
      <w:pPr>
        <w:spacing w:line="360" w:lineRule="auto"/>
        <w:outlineLvl w:val="1"/>
        <w:rPr>
          <w:rFonts w:hint="eastAsia" w:ascii="宋体" w:hAnsi="宋体" w:eastAsia="宋体" w:cs="宋体"/>
          <w:b/>
          <w:bCs/>
          <w:spacing w:val="-13"/>
          <w:sz w:val="24"/>
          <w:szCs w:val="24"/>
          <w:lang w:eastAsia="zh-CN"/>
        </w:rPr>
      </w:pPr>
      <w:r>
        <w:rPr>
          <w:rFonts w:hint="eastAsia" w:ascii="宋体" w:hAnsi="宋体" w:eastAsia="宋体" w:cs="宋体"/>
          <w:b/>
          <w:bCs/>
          <w:spacing w:val="-13"/>
          <w:sz w:val="24"/>
          <w:szCs w:val="24"/>
          <w:lang w:eastAsia="zh-CN"/>
        </w:rPr>
        <w:t>四、</w:t>
      </w:r>
      <w:r>
        <w:rPr>
          <w:rFonts w:ascii="宋体" w:hAnsi="宋体" w:eastAsia="宋体" w:cs="宋体"/>
          <w:b/>
          <w:bCs/>
          <w:spacing w:val="-13"/>
          <w:sz w:val="24"/>
          <w:szCs w:val="24"/>
          <w:lang w:eastAsia="zh-CN"/>
        </w:rPr>
        <w:t>国外有关法律、法规和标准情况的说明</w:t>
      </w:r>
    </w:p>
    <w:p w14:paraId="43480895">
      <w:pPr>
        <w:pStyle w:val="3"/>
        <w:spacing w:line="360" w:lineRule="auto"/>
        <w:ind w:firstLine="416" w:firstLineChars="200"/>
        <w:jc w:val="both"/>
        <w:rPr>
          <w:rFonts w:hint="eastAsia"/>
          <w:spacing w:val="-1"/>
          <w:lang w:eastAsia="zh-CN"/>
        </w:rPr>
      </w:pPr>
      <w:r>
        <w:rPr>
          <w:spacing w:val="-1"/>
          <w:lang w:eastAsia="zh-CN"/>
        </w:rPr>
        <w:t>目前，</w:t>
      </w:r>
      <w:r>
        <w:rPr>
          <w:rFonts w:hint="eastAsia"/>
          <w:spacing w:val="-1"/>
          <w:lang w:eastAsia="zh-CN"/>
        </w:rPr>
        <w:t>化妆品用原料</w:t>
      </w:r>
      <w:r>
        <w:rPr>
          <w:spacing w:val="-1"/>
          <w:lang w:eastAsia="zh-CN"/>
        </w:rPr>
        <w:t>油茶籽油原料国外没有公开的标准。</w:t>
      </w:r>
    </w:p>
    <w:p w14:paraId="1B43D9E3">
      <w:pPr>
        <w:spacing w:line="360" w:lineRule="auto"/>
        <w:outlineLvl w:val="1"/>
        <w:rPr>
          <w:rFonts w:hint="eastAsia" w:ascii="宋体" w:hAnsi="宋体" w:eastAsia="宋体" w:cs="宋体"/>
          <w:b/>
          <w:bCs/>
          <w:spacing w:val="-13"/>
          <w:sz w:val="24"/>
          <w:szCs w:val="24"/>
          <w:lang w:eastAsia="zh-CN"/>
        </w:rPr>
      </w:pPr>
    </w:p>
    <w:p w14:paraId="1CABEEAB">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四、标准的制（修）订与起草原则</w:t>
      </w:r>
    </w:p>
    <w:p w14:paraId="14F8B3E3">
      <w:pPr>
        <w:pStyle w:val="3"/>
        <w:spacing w:line="360" w:lineRule="auto"/>
        <w:ind w:firstLine="416" w:firstLineChars="200"/>
        <w:jc w:val="both"/>
        <w:rPr>
          <w:rFonts w:hint="eastAsia"/>
          <w:spacing w:val="-1"/>
          <w:lang w:eastAsia="zh-CN"/>
        </w:rPr>
      </w:pPr>
      <w:r>
        <w:rPr>
          <w:spacing w:val="-1"/>
          <w:lang w:eastAsia="zh-CN"/>
        </w:rPr>
        <w:t>本标准的制定符合产业发展的原则，本着先进性、科学性、合理性和可操作性的原则以及标准的目标、统一性、协调性、适用性、一致性和规范性原则来进行本标准的制定工作。</w:t>
      </w:r>
    </w:p>
    <w:p w14:paraId="6EC3DF0B">
      <w:pPr>
        <w:pStyle w:val="3"/>
        <w:spacing w:line="360" w:lineRule="auto"/>
        <w:ind w:firstLine="416" w:firstLineChars="200"/>
        <w:jc w:val="both"/>
        <w:rPr>
          <w:rFonts w:hint="eastAsia"/>
          <w:spacing w:val="-1"/>
          <w:lang w:eastAsia="zh-CN"/>
        </w:rPr>
      </w:pPr>
      <w:r>
        <w:rPr>
          <w:spacing w:val="-1"/>
          <w:lang w:eastAsia="zh-CN"/>
        </w:rPr>
        <w:t>本标准起草过程中，主要依据《GB/T1.1标准化工作导则第1部分:标准化文件的结构和起草规则》进行编写。本标准制定过程中，主要参考了以下标准或文件：</w:t>
      </w:r>
    </w:p>
    <w:p w14:paraId="181B6F2F">
      <w:pPr>
        <w:pStyle w:val="3"/>
        <w:spacing w:line="360" w:lineRule="auto"/>
        <w:ind w:firstLine="416" w:firstLineChars="200"/>
        <w:jc w:val="both"/>
        <w:rPr>
          <w:rFonts w:hint="eastAsia"/>
          <w:spacing w:val="-1"/>
          <w:lang w:eastAsia="zh-CN"/>
        </w:rPr>
      </w:pPr>
      <w:r>
        <w:rPr>
          <w:rFonts w:hint="eastAsia"/>
          <w:spacing w:val="-1"/>
          <w:lang w:eastAsia="zh-CN"/>
        </w:rPr>
        <w:t>GB/T191包装储运图示标志</w:t>
      </w:r>
    </w:p>
    <w:p w14:paraId="624BBD9C">
      <w:pPr>
        <w:pStyle w:val="3"/>
        <w:spacing w:line="360" w:lineRule="auto"/>
        <w:ind w:firstLine="416" w:firstLineChars="200"/>
        <w:jc w:val="both"/>
        <w:rPr>
          <w:rFonts w:hint="eastAsia"/>
          <w:spacing w:val="-1"/>
          <w:lang w:eastAsia="zh-CN"/>
        </w:rPr>
      </w:pPr>
      <w:r>
        <w:rPr>
          <w:rFonts w:hint="eastAsia"/>
          <w:spacing w:val="-1"/>
          <w:lang w:eastAsia="zh-CN"/>
        </w:rPr>
        <w:t>GB5009.82食品安全国家标准食品中维生素A、D、E的测定</w:t>
      </w:r>
    </w:p>
    <w:p w14:paraId="76C98119">
      <w:pPr>
        <w:pStyle w:val="3"/>
        <w:spacing w:line="360" w:lineRule="auto"/>
        <w:ind w:firstLine="416" w:firstLineChars="200"/>
        <w:jc w:val="both"/>
        <w:rPr>
          <w:rFonts w:hint="eastAsia"/>
          <w:spacing w:val="-1"/>
          <w:lang w:eastAsia="zh-CN"/>
        </w:rPr>
      </w:pPr>
      <w:r>
        <w:rPr>
          <w:rFonts w:hint="eastAsia"/>
          <w:spacing w:val="-1"/>
          <w:lang w:eastAsia="zh-CN"/>
        </w:rPr>
        <w:t>GB5009.168食品安全国家标准食品中脂肪酸的测定</w:t>
      </w:r>
    </w:p>
    <w:p w14:paraId="0041D8B5">
      <w:pPr>
        <w:pStyle w:val="3"/>
        <w:spacing w:line="360" w:lineRule="auto"/>
        <w:ind w:firstLine="416" w:firstLineChars="200"/>
        <w:jc w:val="both"/>
        <w:rPr>
          <w:rFonts w:hint="eastAsia"/>
          <w:spacing w:val="-1"/>
          <w:lang w:eastAsia="zh-CN"/>
        </w:rPr>
      </w:pPr>
      <w:r>
        <w:rPr>
          <w:rFonts w:hint="eastAsia"/>
          <w:spacing w:val="-1"/>
          <w:lang w:eastAsia="zh-CN"/>
        </w:rPr>
        <w:t>GB5009.227食品安全国家标准食品中过氧化值的测定</w:t>
      </w:r>
    </w:p>
    <w:p w14:paraId="175480D8">
      <w:pPr>
        <w:pStyle w:val="3"/>
        <w:spacing w:line="360" w:lineRule="auto"/>
        <w:ind w:firstLine="416" w:firstLineChars="200"/>
        <w:jc w:val="both"/>
        <w:rPr>
          <w:rFonts w:hint="eastAsia"/>
          <w:spacing w:val="-1"/>
          <w:lang w:eastAsia="zh-CN"/>
        </w:rPr>
      </w:pPr>
      <w:r>
        <w:rPr>
          <w:rFonts w:hint="eastAsia"/>
          <w:spacing w:val="-1"/>
          <w:lang w:eastAsia="zh-CN"/>
        </w:rPr>
        <w:t>GB5009.229食品安全国家标准食品中酸价的测定</w:t>
      </w:r>
    </w:p>
    <w:p w14:paraId="26DA75FC">
      <w:pPr>
        <w:pStyle w:val="3"/>
        <w:spacing w:line="360" w:lineRule="auto"/>
        <w:ind w:firstLine="416" w:firstLineChars="200"/>
        <w:jc w:val="both"/>
        <w:rPr>
          <w:rFonts w:hint="eastAsia"/>
          <w:spacing w:val="-1"/>
          <w:lang w:eastAsia="zh-CN"/>
        </w:rPr>
      </w:pPr>
      <w:r>
        <w:rPr>
          <w:rFonts w:hint="eastAsia"/>
          <w:spacing w:val="-1"/>
          <w:lang w:eastAsia="zh-CN"/>
        </w:rPr>
        <w:t>GB5009.236食品安全国家标准动植物油脂水分及挥发物的测定</w:t>
      </w:r>
    </w:p>
    <w:p w14:paraId="3224B87A">
      <w:pPr>
        <w:pStyle w:val="3"/>
        <w:spacing w:line="360" w:lineRule="auto"/>
        <w:ind w:firstLine="416" w:firstLineChars="200"/>
        <w:jc w:val="both"/>
        <w:rPr>
          <w:rFonts w:hint="eastAsia"/>
          <w:spacing w:val="-1"/>
          <w:lang w:eastAsia="zh-CN"/>
        </w:rPr>
      </w:pPr>
      <w:r>
        <w:rPr>
          <w:rFonts w:hint="eastAsia"/>
          <w:spacing w:val="-1"/>
          <w:lang w:eastAsia="zh-CN"/>
        </w:rPr>
        <w:t>GB/T5524动植物油脂扦样</w:t>
      </w:r>
    </w:p>
    <w:p w14:paraId="7EFD9C67">
      <w:pPr>
        <w:pStyle w:val="3"/>
        <w:spacing w:line="360" w:lineRule="auto"/>
        <w:ind w:firstLine="416" w:firstLineChars="200"/>
        <w:jc w:val="both"/>
        <w:rPr>
          <w:rFonts w:hint="eastAsia"/>
          <w:spacing w:val="-1"/>
          <w:lang w:eastAsia="zh-CN"/>
        </w:rPr>
      </w:pPr>
      <w:r>
        <w:rPr>
          <w:rFonts w:hint="eastAsia"/>
          <w:spacing w:val="-1"/>
          <w:lang w:eastAsia="zh-CN"/>
        </w:rPr>
        <w:t>GB/T5525植物油脂透明度、气味、滋味鉴定法</w:t>
      </w:r>
    </w:p>
    <w:p w14:paraId="508A6A4A">
      <w:pPr>
        <w:pStyle w:val="3"/>
        <w:spacing w:line="360" w:lineRule="auto"/>
        <w:ind w:firstLine="416" w:firstLineChars="200"/>
        <w:jc w:val="both"/>
        <w:rPr>
          <w:rFonts w:hint="eastAsia"/>
          <w:spacing w:val="-1"/>
          <w:lang w:eastAsia="zh-CN"/>
        </w:rPr>
      </w:pPr>
      <w:r>
        <w:rPr>
          <w:rFonts w:hint="eastAsia"/>
          <w:spacing w:val="-1"/>
          <w:lang w:eastAsia="zh-CN"/>
        </w:rPr>
        <w:t>GB/T5532动植物油脂碘值的测定</w:t>
      </w:r>
    </w:p>
    <w:p w14:paraId="4705ABB0">
      <w:pPr>
        <w:pStyle w:val="3"/>
        <w:spacing w:line="360" w:lineRule="auto"/>
        <w:ind w:firstLine="416" w:firstLineChars="200"/>
        <w:jc w:val="both"/>
        <w:rPr>
          <w:rFonts w:hint="eastAsia"/>
          <w:spacing w:val="-1"/>
          <w:lang w:eastAsia="zh-CN"/>
        </w:rPr>
      </w:pPr>
      <w:r>
        <w:rPr>
          <w:rFonts w:hint="eastAsia"/>
          <w:spacing w:val="-1"/>
          <w:lang w:eastAsia="zh-CN"/>
        </w:rPr>
        <w:t>GB/T5534动植物油脂皂化值的测定</w:t>
      </w:r>
    </w:p>
    <w:p w14:paraId="233A063E">
      <w:pPr>
        <w:pStyle w:val="3"/>
        <w:spacing w:line="360" w:lineRule="auto"/>
        <w:ind w:firstLine="416" w:firstLineChars="200"/>
        <w:jc w:val="both"/>
        <w:rPr>
          <w:rFonts w:hint="eastAsia"/>
          <w:spacing w:val="-1"/>
          <w:lang w:eastAsia="zh-CN"/>
        </w:rPr>
      </w:pPr>
      <w:r>
        <w:rPr>
          <w:rFonts w:hint="eastAsia"/>
          <w:spacing w:val="-1"/>
          <w:lang w:eastAsia="zh-CN"/>
        </w:rPr>
        <w:t>GB8955食品安全国家标准食用植物油及其制品生产卫生规范</w:t>
      </w:r>
    </w:p>
    <w:p w14:paraId="6F698B64">
      <w:pPr>
        <w:pStyle w:val="3"/>
        <w:spacing w:line="360" w:lineRule="auto"/>
        <w:ind w:firstLine="416" w:firstLineChars="200"/>
        <w:jc w:val="both"/>
        <w:rPr>
          <w:rFonts w:hint="eastAsia"/>
          <w:spacing w:val="-1"/>
          <w:lang w:eastAsia="zh-CN"/>
        </w:rPr>
      </w:pPr>
      <w:r>
        <w:rPr>
          <w:rFonts w:hint="eastAsia"/>
          <w:spacing w:val="-1"/>
          <w:lang w:eastAsia="zh-CN"/>
        </w:rPr>
        <w:t>GB/T11540香料相对密度的测定</w:t>
      </w:r>
    </w:p>
    <w:p w14:paraId="0F701D9D">
      <w:pPr>
        <w:pStyle w:val="3"/>
        <w:spacing w:line="360" w:lineRule="auto"/>
        <w:ind w:firstLine="416" w:firstLineChars="200"/>
        <w:jc w:val="both"/>
        <w:rPr>
          <w:rFonts w:hint="eastAsia"/>
          <w:spacing w:val="-1"/>
          <w:lang w:eastAsia="zh-CN"/>
        </w:rPr>
      </w:pPr>
      <w:r>
        <w:rPr>
          <w:rFonts w:hint="eastAsia"/>
          <w:spacing w:val="-1"/>
          <w:lang w:eastAsia="zh-CN"/>
        </w:rPr>
        <w:t>GB/T15688动植物油脂不溶性杂质含量的测定</w:t>
      </w:r>
    </w:p>
    <w:p w14:paraId="609E71DE">
      <w:pPr>
        <w:pStyle w:val="3"/>
        <w:spacing w:line="360" w:lineRule="auto"/>
        <w:ind w:firstLine="416" w:firstLineChars="200"/>
        <w:jc w:val="both"/>
        <w:rPr>
          <w:rFonts w:hint="eastAsia"/>
          <w:spacing w:val="-1"/>
          <w:lang w:eastAsia="zh-CN"/>
        </w:rPr>
      </w:pPr>
      <w:r>
        <w:rPr>
          <w:rFonts w:hint="eastAsia"/>
          <w:spacing w:val="-1"/>
          <w:lang w:eastAsia="zh-CN"/>
        </w:rPr>
        <w:t>GB/T37917油茶籽</w:t>
      </w:r>
    </w:p>
    <w:p w14:paraId="32AADFE3">
      <w:pPr>
        <w:pStyle w:val="3"/>
        <w:spacing w:line="360" w:lineRule="auto"/>
        <w:ind w:firstLine="416" w:firstLineChars="200"/>
        <w:jc w:val="both"/>
        <w:rPr>
          <w:rFonts w:hint="eastAsia"/>
          <w:spacing w:val="-1"/>
          <w:lang w:eastAsia="zh-CN"/>
        </w:rPr>
      </w:pPr>
      <w:r>
        <w:rPr>
          <w:rFonts w:hint="eastAsia"/>
          <w:spacing w:val="-1"/>
          <w:lang w:eastAsia="zh-CN"/>
        </w:rPr>
        <w:t>GB/T39665含植物提取物类化妆品中55种禁用农药残留量的测定</w:t>
      </w:r>
    </w:p>
    <w:p w14:paraId="421AA6D8">
      <w:pPr>
        <w:pStyle w:val="3"/>
        <w:spacing w:line="360" w:lineRule="auto"/>
        <w:ind w:firstLine="416" w:firstLineChars="200"/>
        <w:jc w:val="both"/>
        <w:rPr>
          <w:rFonts w:hint="eastAsia"/>
          <w:spacing w:val="-1"/>
          <w:lang w:eastAsia="zh-CN"/>
        </w:rPr>
      </w:pPr>
      <w:r>
        <w:rPr>
          <w:rFonts w:hint="eastAsia"/>
          <w:spacing w:val="-1"/>
          <w:lang w:eastAsia="zh-CN"/>
        </w:rPr>
        <w:t>LS/T6120粮油检验植物油中角鲨烯的测定气相色谱法</w:t>
      </w:r>
    </w:p>
    <w:p w14:paraId="2042648A">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五、确定各项技术内容（如技术指标、参数、公式、试验方法、检验规则等）的依据（与国际相关标准的对比情况，与国际标准不一致的，应当提供科学依据）</w:t>
      </w:r>
    </w:p>
    <w:p w14:paraId="30E438BB">
      <w:pPr>
        <w:spacing w:line="360" w:lineRule="auto"/>
        <w:outlineLvl w:val="2"/>
        <w:rPr>
          <w:rFonts w:hint="eastAsia" w:asciiTheme="minorEastAsia" w:hAnsiTheme="minorEastAsia" w:eastAsiaTheme="minorEastAsia" w:cstheme="minorEastAsia"/>
          <w:b/>
          <w:bCs/>
          <w:spacing w:val="-3"/>
          <w:sz w:val="22"/>
          <w:szCs w:val="22"/>
          <w:lang w:eastAsia="zh-CN"/>
        </w:rPr>
      </w:pPr>
      <w:r>
        <w:rPr>
          <w:rFonts w:hint="eastAsia" w:asciiTheme="minorEastAsia" w:hAnsiTheme="minorEastAsia" w:eastAsiaTheme="minorEastAsia" w:cstheme="minorEastAsia"/>
          <w:b/>
          <w:bCs/>
          <w:spacing w:val="-3"/>
          <w:sz w:val="22"/>
          <w:szCs w:val="22"/>
          <w:lang w:eastAsia="zh-CN"/>
        </w:rPr>
        <w:t>1、标准指标技术内容</w:t>
      </w:r>
    </w:p>
    <w:p w14:paraId="38895E5C">
      <w:pPr>
        <w:spacing w:line="65" w:lineRule="exact"/>
      </w:pPr>
    </w:p>
    <w:tbl>
      <w:tblPr>
        <w:tblStyle w:val="11"/>
        <w:tblW w:w="5071"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54"/>
        <w:gridCol w:w="3279"/>
        <w:gridCol w:w="2029"/>
        <w:gridCol w:w="2269"/>
      </w:tblGrid>
      <w:tr w14:paraId="0D3DE7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Align w:val="center"/>
          </w:tcPr>
          <w:p w14:paraId="6128B5C7">
            <w:pPr>
              <w:pStyle w:val="12"/>
              <w:spacing w:before="56" w:line="219" w:lineRule="auto"/>
              <w:ind w:left="121"/>
              <w:jc w:val="both"/>
              <w:rPr>
                <w:rFonts w:hint="eastAsia"/>
                <w:sz w:val="20"/>
                <w:szCs w:val="20"/>
              </w:rPr>
            </w:pPr>
            <w:r>
              <w:rPr>
                <w:rFonts w:hint="eastAsia"/>
                <w:spacing w:val="-3"/>
                <w:sz w:val="20"/>
                <w:szCs w:val="20"/>
              </w:rPr>
              <w:t>指标</w:t>
            </w:r>
          </w:p>
        </w:tc>
        <w:tc>
          <w:tcPr>
            <w:tcW w:w="1944" w:type="pct"/>
            <w:vAlign w:val="center"/>
          </w:tcPr>
          <w:p w14:paraId="39CF58C4">
            <w:pPr>
              <w:pStyle w:val="12"/>
              <w:spacing w:before="56" w:line="219" w:lineRule="auto"/>
              <w:ind w:left="118"/>
              <w:jc w:val="both"/>
              <w:rPr>
                <w:rFonts w:hint="eastAsia"/>
                <w:sz w:val="20"/>
                <w:szCs w:val="20"/>
              </w:rPr>
            </w:pPr>
            <w:r>
              <w:rPr>
                <w:rFonts w:hint="eastAsia"/>
                <w:spacing w:val="-3"/>
                <w:sz w:val="20"/>
                <w:szCs w:val="20"/>
              </w:rPr>
              <w:t>本标准要求</w:t>
            </w:r>
          </w:p>
        </w:tc>
        <w:tc>
          <w:tcPr>
            <w:tcW w:w="1203" w:type="pct"/>
            <w:vAlign w:val="center"/>
          </w:tcPr>
          <w:p w14:paraId="15798D35">
            <w:pPr>
              <w:pStyle w:val="12"/>
              <w:spacing w:before="56" w:line="218" w:lineRule="auto"/>
              <w:ind w:left="120"/>
              <w:jc w:val="both"/>
              <w:rPr>
                <w:rFonts w:hint="eastAsia"/>
                <w:sz w:val="20"/>
                <w:szCs w:val="20"/>
              </w:rPr>
            </w:pPr>
            <w:r>
              <w:rPr>
                <w:rFonts w:hint="eastAsia"/>
                <w:spacing w:val="-2"/>
                <w:sz w:val="20"/>
                <w:szCs w:val="20"/>
              </w:rPr>
              <w:t>指标制定依据</w:t>
            </w:r>
          </w:p>
        </w:tc>
        <w:tc>
          <w:tcPr>
            <w:tcW w:w="1345" w:type="pct"/>
            <w:vAlign w:val="center"/>
          </w:tcPr>
          <w:p w14:paraId="5C842835">
            <w:pPr>
              <w:pStyle w:val="12"/>
              <w:spacing w:before="55" w:line="217" w:lineRule="auto"/>
              <w:ind w:left="123"/>
              <w:jc w:val="both"/>
              <w:rPr>
                <w:rFonts w:hint="eastAsia"/>
                <w:sz w:val="20"/>
                <w:szCs w:val="20"/>
              </w:rPr>
            </w:pPr>
            <w:r>
              <w:rPr>
                <w:rFonts w:hint="eastAsia"/>
                <w:spacing w:val="-4"/>
                <w:sz w:val="20"/>
                <w:szCs w:val="20"/>
              </w:rPr>
              <w:t>检测方法</w:t>
            </w:r>
          </w:p>
        </w:tc>
      </w:tr>
      <w:tr w14:paraId="542231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1AA8782A">
            <w:pPr>
              <w:pStyle w:val="12"/>
              <w:spacing w:line="360" w:lineRule="auto"/>
              <w:jc w:val="both"/>
              <w:rPr>
                <w:rFonts w:hint="eastAsia"/>
                <w:sz w:val="20"/>
                <w:szCs w:val="20"/>
                <w:lang w:eastAsia="zh-CN"/>
              </w:rPr>
            </w:pPr>
            <w:r>
              <w:rPr>
                <w:rFonts w:hint="eastAsia"/>
                <w:sz w:val="20"/>
                <w:szCs w:val="20"/>
                <w:lang w:eastAsia="zh-CN"/>
              </w:rPr>
              <w:t>理化</w:t>
            </w:r>
            <w:r>
              <w:rPr>
                <w:rFonts w:hint="eastAsia"/>
                <w:spacing w:val="-1"/>
                <w:sz w:val="20"/>
                <w:szCs w:val="20"/>
                <w:lang w:eastAsia="zh-CN"/>
              </w:rPr>
              <w:t>指标</w:t>
            </w:r>
          </w:p>
        </w:tc>
        <w:tc>
          <w:tcPr>
            <w:tcW w:w="1944" w:type="pct"/>
            <w:vAlign w:val="center"/>
          </w:tcPr>
          <w:p w14:paraId="634CBC9E">
            <w:pPr>
              <w:pStyle w:val="12"/>
              <w:spacing w:line="360" w:lineRule="auto"/>
              <w:jc w:val="both"/>
              <w:rPr>
                <w:rFonts w:hint="eastAsia"/>
                <w:spacing w:val="-1"/>
                <w:sz w:val="20"/>
                <w:szCs w:val="20"/>
              </w:rPr>
            </w:pPr>
            <w:r>
              <w:rPr>
                <w:rFonts w:hint="eastAsia"/>
                <w:spacing w:val="-1"/>
                <w:sz w:val="20"/>
                <w:szCs w:val="20"/>
              </w:rPr>
              <w:t>相对密度（d20/20）</w:t>
            </w:r>
            <w:r>
              <w:rPr>
                <w:rFonts w:hint="eastAsia"/>
                <w:spacing w:val="-1"/>
                <w:sz w:val="20"/>
                <w:szCs w:val="20"/>
                <w:lang w:eastAsia="zh-CN"/>
              </w:rPr>
              <w:t>：0</w:t>
            </w:r>
            <w:r>
              <w:rPr>
                <w:rFonts w:hint="eastAsia"/>
                <w:spacing w:val="-1"/>
                <w:sz w:val="20"/>
                <w:szCs w:val="20"/>
              </w:rPr>
              <w:t>.912~0.922</w:t>
            </w:r>
          </w:p>
        </w:tc>
        <w:tc>
          <w:tcPr>
            <w:tcW w:w="1203" w:type="pct"/>
            <w:vAlign w:val="center"/>
          </w:tcPr>
          <w:p w14:paraId="314C655F">
            <w:pPr>
              <w:pStyle w:val="12"/>
              <w:spacing w:line="360" w:lineRule="auto"/>
              <w:jc w:val="both"/>
              <w:rPr>
                <w:rFonts w:hint="eastAsia"/>
                <w:spacing w:val="-1"/>
                <w:sz w:val="20"/>
                <w:szCs w:val="20"/>
                <w:lang w:eastAsia="zh-CN"/>
              </w:rPr>
            </w:pPr>
            <w:r>
              <w:rPr>
                <w:rFonts w:hint="eastAsia"/>
                <w:spacing w:val="-1"/>
                <w:sz w:val="20"/>
                <w:szCs w:val="20"/>
                <w:lang w:eastAsia="zh-CN"/>
              </w:rPr>
              <w:t>相对密度是对液体原料的物理性质，根据本品特性制定本指标。</w:t>
            </w:r>
          </w:p>
        </w:tc>
        <w:tc>
          <w:tcPr>
            <w:tcW w:w="1345" w:type="pct"/>
            <w:vAlign w:val="center"/>
          </w:tcPr>
          <w:p w14:paraId="037C0C0D">
            <w:pPr>
              <w:pStyle w:val="12"/>
              <w:spacing w:line="360" w:lineRule="auto"/>
              <w:jc w:val="both"/>
              <w:rPr>
                <w:rFonts w:hint="eastAsia"/>
                <w:spacing w:val="-1"/>
                <w:sz w:val="20"/>
                <w:szCs w:val="20"/>
                <w:lang w:eastAsia="zh-CN"/>
              </w:rPr>
            </w:pPr>
            <w:r>
              <w:rPr>
                <w:rFonts w:hint="eastAsia"/>
                <w:spacing w:val="-1"/>
                <w:sz w:val="20"/>
                <w:szCs w:val="20"/>
                <w:lang w:eastAsia="zh-CN"/>
              </w:rPr>
              <w:t>GB/T11540-2008《香料相对密度的测定》</w:t>
            </w:r>
          </w:p>
        </w:tc>
      </w:tr>
      <w:tr w14:paraId="47D72E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6EE66597">
            <w:pPr>
              <w:jc w:val="both"/>
              <w:rPr>
                <w:rFonts w:hint="eastAsia" w:ascii="仿宋" w:hAnsi="仿宋" w:eastAsia="仿宋" w:cs="仿宋"/>
                <w:sz w:val="20"/>
                <w:szCs w:val="20"/>
                <w:lang w:eastAsia="zh-CN"/>
              </w:rPr>
            </w:pPr>
          </w:p>
        </w:tc>
        <w:tc>
          <w:tcPr>
            <w:tcW w:w="1944" w:type="pct"/>
            <w:vAlign w:val="center"/>
          </w:tcPr>
          <w:p w14:paraId="72B75E9D">
            <w:pPr>
              <w:pStyle w:val="12"/>
              <w:spacing w:line="360" w:lineRule="auto"/>
              <w:jc w:val="both"/>
              <w:rPr>
                <w:rFonts w:hint="eastAsia"/>
                <w:spacing w:val="-1"/>
                <w:sz w:val="20"/>
                <w:szCs w:val="20"/>
              </w:rPr>
            </w:pPr>
            <w:r>
              <w:rPr>
                <w:rFonts w:hint="eastAsia"/>
                <w:spacing w:val="-1"/>
                <w:sz w:val="20"/>
                <w:szCs w:val="20"/>
              </w:rPr>
              <w:t>折光率（n25）：1.467~1.472</w:t>
            </w:r>
          </w:p>
        </w:tc>
        <w:tc>
          <w:tcPr>
            <w:tcW w:w="1203" w:type="pct"/>
            <w:vAlign w:val="center"/>
          </w:tcPr>
          <w:p w14:paraId="54485B4F">
            <w:pPr>
              <w:pStyle w:val="12"/>
              <w:spacing w:line="360" w:lineRule="auto"/>
              <w:jc w:val="both"/>
              <w:rPr>
                <w:rFonts w:hint="eastAsia"/>
                <w:spacing w:val="-1"/>
                <w:sz w:val="20"/>
                <w:szCs w:val="20"/>
                <w:lang w:eastAsia="zh-CN"/>
              </w:rPr>
            </w:pPr>
            <w:r>
              <w:rPr>
                <w:rFonts w:hint="eastAsia"/>
                <w:spacing w:val="-1"/>
                <w:sz w:val="20"/>
                <w:szCs w:val="20"/>
                <w:lang w:eastAsia="zh-CN"/>
              </w:rPr>
              <w:t>折光率是对液体原料的物理性质，根据本品特性制定本指标。</w:t>
            </w:r>
          </w:p>
        </w:tc>
        <w:tc>
          <w:tcPr>
            <w:tcW w:w="1345" w:type="pct"/>
            <w:vAlign w:val="center"/>
          </w:tcPr>
          <w:p w14:paraId="75850F61">
            <w:pPr>
              <w:pStyle w:val="12"/>
              <w:spacing w:line="360" w:lineRule="auto"/>
              <w:jc w:val="both"/>
              <w:rPr>
                <w:rFonts w:hint="eastAsia"/>
                <w:spacing w:val="-1"/>
                <w:sz w:val="20"/>
                <w:szCs w:val="20"/>
                <w:lang w:eastAsia="zh-CN"/>
              </w:rPr>
            </w:pPr>
            <w:r>
              <w:rPr>
                <w:rFonts w:hint="eastAsia"/>
                <w:spacing w:val="-1"/>
                <w:sz w:val="20"/>
                <w:szCs w:val="20"/>
                <w:lang w:eastAsia="zh-CN"/>
              </w:rPr>
              <w:t>《中华人民共和国药典》第四部通则0622</w:t>
            </w:r>
          </w:p>
        </w:tc>
      </w:tr>
      <w:tr w14:paraId="3271A5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62" w:hRule="atLeast"/>
        </w:trPr>
        <w:tc>
          <w:tcPr>
            <w:tcW w:w="506" w:type="pct"/>
            <w:vMerge w:val="continue"/>
            <w:vAlign w:val="center"/>
          </w:tcPr>
          <w:p w14:paraId="46527B46">
            <w:pPr>
              <w:jc w:val="both"/>
              <w:rPr>
                <w:rFonts w:hint="eastAsia" w:ascii="仿宋" w:hAnsi="仿宋" w:eastAsia="仿宋" w:cs="仿宋"/>
                <w:sz w:val="20"/>
                <w:szCs w:val="20"/>
                <w:lang w:eastAsia="zh-CN"/>
              </w:rPr>
            </w:pPr>
          </w:p>
        </w:tc>
        <w:tc>
          <w:tcPr>
            <w:tcW w:w="1944" w:type="pct"/>
            <w:vAlign w:val="center"/>
          </w:tcPr>
          <w:p w14:paraId="758BE1D6">
            <w:pPr>
              <w:pStyle w:val="12"/>
              <w:spacing w:line="360" w:lineRule="auto"/>
              <w:jc w:val="both"/>
              <w:rPr>
                <w:rFonts w:hint="eastAsia"/>
                <w:spacing w:val="-1"/>
                <w:sz w:val="20"/>
                <w:szCs w:val="20"/>
              </w:rPr>
            </w:pPr>
            <w:r>
              <w:rPr>
                <w:rFonts w:hint="eastAsia"/>
                <w:spacing w:val="-1"/>
                <w:sz w:val="20"/>
                <w:szCs w:val="20"/>
              </w:rPr>
              <w:t>碘值（I）（g/100g）:80~88</w:t>
            </w:r>
          </w:p>
        </w:tc>
        <w:tc>
          <w:tcPr>
            <w:tcW w:w="1203" w:type="pct"/>
            <w:vAlign w:val="center"/>
          </w:tcPr>
          <w:p w14:paraId="43E474FE">
            <w:pPr>
              <w:pStyle w:val="12"/>
              <w:spacing w:line="360" w:lineRule="auto"/>
              <w:jc w:val="both"/>
              <w:rPr>
                <w:rFonts w:hint="eastAsia"/>
                <w:spacing w:val="-1"/>
                <w:sz w:val="20"/>
                <w:szCs w:val="20"/>
                <w:lang w:eastAsia="zh-CN"/>
              </w:rPr>
            </w:pPr>
            <w:r>
              <w:rPr>
                <w:rFonts w:hint="eastAsia"/>
                <w:spacing w:val="-1"/>
                <w:sz w:val="20"/>
                <w:szCs w:val="20"/>
                <w:lang w:eastAsia="zh-CN"/>
              </w:rPr>
              <w:t>碘值是对油茶籽油中不饱和程度的一种指标，根据本品特性制定本指标。</w:t>
            </w:r>
          </w:p>
        </w:tc>
        <w:tc>
          <w:tcPr>
            <w:tcW w:w="1345" w:type="pct"/>
            <w:vAlign w:val="center"/>
          </w:tcPr>
          <w:p w14:paraId="15D3751C">
            <w:pPr>
              <w:pStyle w:val="12"/>
              <w:spacing w:line="360" w:lineRule="auto"/>
              <w:jc w:val="both"/>
              <w:rPr>
                <w:rFonts w:hint="eastAsia"/>
                <w:spacing w:val="-1"/>
                <w:sz w:val="20"/>
                <w:szCs w:val="20"/>
                <w:lang w:eastAsia="zh-CN"/>
              </w:rPr>
            </w:pPr>
            <w:r>
              <w:rPr>
                <w:rFonts w:hint="eastAsia"/>
                <w:spacing w:val="-1"/>
                <w:sz w:val="20"/>
                <w:szCs w:val="20"/>
                <w:lang w:eastAsia="zh-CN"/>
              </w:rPr>
              <w:t>GB/T5532-2022《动植物油脂碘值的测定》</w:t>
            </w:r>
          </w:p>
        </w:tc>
      </w:tr>
      <w:tr w14:paraId="247A4A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1DB776E8">
            <w:pPr>
              <w:jc w:val="both"/>
              <w:rPr>
                <w:rFonts w:hint="eastAsia" w:ascii="仿宋" w:hAnsi="仿宋" w:eastAsia="仿宋" w:cs="仿宋"/>
                <w:sz w:val="20"/>
                <w:szCs w:val="20"/>
                <w:lang w:eastAsia="zh-CN"/>
              </w:rPr>
            </w:pPr>
          </w:p>
        </w:tc>
        <w:tc>
          <w:tcPr>
            <w:tcW w:w="1944" w:type="pct"/>
            <w:vAlign w:val="center"/>
          </w:tcPr>
          <w:p w14:paraId="607DAC55">
            <w:pPr>
              <w:pStyle w:val="12"/>
              <w:spacing w:line="360" w:lineRule="auto"/>
              <w:jc w:val="both"/>
              <w:rPr>
                <w:rFonts w:hint="eastAsia"/>
                <w:spacing w:val="-1"/>
                <w:sz w:val="20"/>
                <w:szCs w:val="20"/>
              </w:rPr>
            </w:pPr>
            <w:r>
              <w:rPr>
                <w:rFonts w:hint="eastAsia"/>
                <w:spacing w:val="-1"/>
                <w:sz w:val="20"/>
                <w:szCs w:val="20"/>
              </w:rPr>
              <w:t>皂化值（KOH）（mg/g）：186~196</w:t>
            </w:r>
          </w:p>
        </w:tc>
        <w:tc>
          <w:tcPr>
            <w:tcW w:w="1203" w:type="pct"/>
            <w:vAlign w:val="center"/>
          </w:tcPr>
          <w:p w14:paraId="3D22FB53">
            <w:pPr>
              <w:pStyle w:val="12"/>
              <w:spacing w:line="360" w:lineRule="auto"/>
              <w:jc w:val="both"/>
              <w:rPr>
                <w:rFonts w:hint="eastAsia"/>
                <w:spacing w:val="-1"/>
                <w:sz w:val="20"/>
                <w:szCs w:val="20"/>
                <w:lang w:eastAsia="zh-CN"/>
              </w:rPr>
            </w:pPr>
            <w:r>
              <w:rPr>
                <w:rFonts w:hint="eastAsia"/>
                <w:spacing w:val="-1"/>
                <w:sz w:val="20"/>
                <w:szCs w:val="20"/>
                <w:lang w:eastAsia="zh-CN"/>
              </w:rPr>
              <w:t>皂化值可用以评价油脂品质，根据本品特性制定本指标。</w:t>
            </w:r>
          </w:p>
        </w:tc>
        <w:tc>
          <w:tcPr>
            <w:tcW w:w="1345" w:type="pct"/>
            <w:vAlign w:val="center"/>
          </w:tcPr>
          <w:p w14:paraId="388B5726">
            <w:pPr>
              <w:pStyle w:val="12"/>
              <w:spacing w:line="360" w:lineRule="auto"/>
              <w:jc w:val="both"/>
              <w:rPr>
                <w:rFonts w:hint="eastAsia"/>
                <w:spacing w:val="-1"/>
                <w:sz w:val="20"/>
                <w:szCs w:val="20"/>
                <w:lang w:eastAsia="zh-CN"/>
              </w:rPr>
            </w:pPr>
            <w:r>
              <w:rPr>
                <w:rFonts w:hint="eastAsia"/>
                <w:spacing w:val="-1"/>
                <w:sz w:val="20"/>
                <w:szCs w:val="20"/>
                <w:lang w:eastAsia="zh-CN"/>
              </w:rPr>
              <w:t>GB/T5534-2024《动植物油脂皂化值的测定》</w:t>
            </w:r>
          </w:p>
        </w:tc>
      </w:tr>
      <w:tr w14:paraId="563DEF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69159B3F">
            <w:pPr>
              <w:pStyle w:val="12"/>
              <w:spacing w:line="360" w:lineRule="auto"/>
              <w:jc w:val="both"/>
              <w:rPr>
                <w:rFonts w:hint="eastAsia"/>
                <w:sz w:val="20"/>
                <w:szCs w:val="20"/>
                <w:lang w:eastAsia="zh-CN"/>
              </w:rPr>
            </w:pPr>
            <w:r>
              <w:rPr>
                <w:rFonts w:hint="eastAsia"/>
                <w:spacing w:val="-1"/>
                <w:sz w:val="20"/>
                <w:szCs w:val="20"/>
              </w:rPr>
              <w:t>主要脂肪</w:t>
            </w:r>
            <w:r>
              <w:rPr>
                <w:rFonts w:hint="eastAsia"/>
                <w:spacing w:val="-3"/>
                <w:sz w:val="20"/>
                <w:szCs w:val="20"/>
              </w:rPr>
              <w:t>酸组成</w:t>
            </w:r>
          </w:p>
        </w:tc>
        <w:tc>
          <w:tcPr>
            <w:tcW w:w="1944" w:type="pct"/>
            <w:vAlign w:val="center"/>
          </w:tcPr>
          <w:p w14:paraId="07F5A86C">
            <w:pPr>
              <w:pStyle w:val="12"/>
              <w:spacing w:line="360" w:lineRule="auto"/>
              <w:jc w:val="both"/>
              <w:rPr>
                <w:rFonts w:hint="eastAsia"/>
                <w:spacing w:val="-1"/>
                <w:sz w:val="20"/>
                <w:szCs w:val="20"/>
              </w:rPr>
            </w:pPr>
            <w:r>
              <w:rPr>
                <w:rFonts w:hint="eastAsia"/>
                <w:spacing w:val="-1"/>
                <w:sz w:val="20"/>
                <w:szCs w:val="20"/>
              </w:rPr>
              <w:t>豆蔻酸（C14:0）：≤0.8</w:t>
            </w:r>
          </w:p>
        </w:tc>
        <w:tc>
          <w:tcPr>
            <w:tcW w:w="1203" w:type="pct"/>
            <w:vMerge w:val="restart"/>
            <w:vAlign w:val="center"/>
          </w:tcPr>
          <w:p w14:paraId="21FF6010">
            <w:pPr>
              <w:pStyle w:val="12"/>
              <w:spacing w:line="360" w:lineRule="auto"/>
              <w:jc w:val="both"/>
              <w:rPr>
                <w:rFonts w:hint="eastAsia"/>
                <w:spacing w:val="-1"/>
                <w:sz w:val="20"/>
                <w:szCs w:val="20"/>
                <w:lang w:eastAsia="zh-CN"/>
              </w:rPr>
            </w:pPr>
            <w:r>
              <w:rPr>
                <w:rFonts w:hint="eastAsia"/>
                <w:spacing w:val="-1"/>
                <w:sz w:val="20"/>
                <w:szCs w:val="20"/>
                <w:lang w:eastAsia="zh-CN"/>
              </w:rPr>
              <w:t>脂肪酸组成是对油茶籽油这种油类原料中脂肪酸种类和含量的规定，根据本品脂肪酸组成制定本指标</w:t>
            </w:r>
          </w:p>
        </w:tc>
        <w:tc>
          <w:tcPr>
            <w:tcW w:w="1345" w:type="pct"/>
            <w:vMerge w:val="restart"/>
            <w:vAlign w:val="center"/>
          </w:tcPr>
          <w:p w14:paraId="7546AD5D">
            <w:pPr>
              <w:pStyle w:val="12"/>
              <w:spacing w:line="360" w:lineRule="auto"/>
              <w:jc w:val="both"/>
              <w:rPr>
                <w:rFonts w:hint="eastAsia"/>
                <w:spacing w:val="-1"/>
                <w:sz w:val="20"/>
                <w:szCs w:val="20"/>
                <w:lang w:eastAsia="zh-CN"/>
              </w:rPr>
            </w:pPr>
            <w:r>
              <w:rPr>
                <w:rFonts w:hint="eastAsia"/>
                <w:spacing w:val="-1"/>
                <w:sz w:val="20"/>
                <w:szCs w:val="20"/>
                <w:lang w:eastAsia="zh-CN"/>
              </w:rPr>
              <w:t>GB5009.168-2016《食品安全国家标准食品中脂肪酸的测定》</w:t>
            </w:r>
          </w:p>
        </w:tc>
      </w:tr>
      <w:tr w14:paraId="4F4115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780AB5A5">
            <w:pPr>
              <w:jc w:val="both"/>
              <w:rPr>
                <w:rFonts w:hint="eastAsia" w:ascii="仿宋" w:hAnsi="仿宋" w:eastAsia="仿宋" w:cs="仿宋"/>
                <w:sz w:val="20"/>
                <w:szCs w:val="20"/>
                <w:lang w:eastAsia="zh-CN"/>
              </w:rPr>
            </w:pPr>
          </w:p>
        </w:tc>
        <w:tc>
          <w:tcPr>
            <w:tcW w:w="1944" w:type="pct"/>
            <w:vAlign w:val="center"/>
          </w:tcPr>
          <w:p w14:paraId="1FFEDA17">
            <w:pPr>
              <w:pStyle w:val="12"/>
              <w:spacing w:line="360" w:lineRule="auto"/>
              <w:jc w:val="both"/>
              <w:rPr>
                <w:rFonts w:hint="eastAsia"/>
                <w:spacing w:val="-1"/>
                <w:sz w:val="20"/>
                <w:szCs w:val="20"/>
              </w:rPr>
            </w:pPr>
            <w:r>
              <w:rPr>
                <w:rFonts w:hint="eastAsia"/>
                <w:spacing w:val="-1"/>
                <w:sz w:val="20"/>
                <w:szCs w:val="20"/>
              </w:rPr>
              <w:t>棕榈酸（C16:0）：3.9~14.5</w:t>
            </w:r>
          </w:p>
        </w:tc>
        <w:tc>
          <w:tcPr>
            <w:tcW w:w="1203" w:type="pct"/>
            <w:vMerge w:val="continue"/>
            <w:vAlign w:val="center"/>
          </w:tcPr>
          <w:p w14:paraId="0A97CE80">
            <w:pPr>
              <w:pStyle w:val="12"/>
              <w:spacing w:line="360" w:lineRule="auto"/>
              <w:jc w:val="both"/>
              <w:rPr>
                <w:rFonts w:hint="eastAsia"/>
                <w:spacing w:val="-1"/>
                <w:sz w:val="20"/>
                <w:szCs w:val="20"/>
                <w:lang w:eastAsia="zh-CN"/>
              </w:rPr>
            </w:pPr>
          </w:p>
        </w:tc>
        <w:tc>
          <w:tcPr>
            <w:tcW w:w="1345" w:type="pct"/>
            <w:vMerge w:val="continue"/>
            <w:vAlign w:val="center"/>
          </w:tcPr>
          <w:p w14:paraId="6CF22269">
            <w:pPr>
              <w:pStyle w:val="12"/>
              <w:spacing w:line="360" w:lineRule="auto"/>
              <w:jc w:val="both"/>
              <w:rPr>
                <w:rFonts w:hint="eastAsia"/>
                <w:spacing w:val="-1"/>
                <w:sz w:val="20"/>
                <w:szCs w:val="20"/>
                <w:lang w:eastAsia="zh-CN"/>
              </w:rPr>
            </w:pPr>
          </w:p>
        </w:tc>
      </w:tr>
      <w:tr w14:paraId="3B4242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506" w:type="pct"/>
            <w:vMerge w:val="continue"/>
            <w:vAlign w:val="center"/>
          </w:tcPr>
          <w:p w14:paraId="0AD91C92">
            <w:pPr>
              <w:jc w:val="both"/>
              <w:rPr>
                <w:rFonts w:hint="eastAsia" w:ascii="仿宋" w:hAnsi="仿宋" w:eastAsia="仿宋" w:cs="仿宋"/>
                <w:sz w:val="20"/>
                <w:szCs w:val="20"/>
                <w:lang w:eastAsia="zh-CN"/>
              </w:rPr>
            </w:pPr>
          </w:p>
        </w:tc>
        <w:tc>
          <w:tcPr>
            <w:tcW w:w="1944" w:type="pct"/>
            <w:vAlign w:val="center"/>
          </w:tcPr>
          <w:p w14:paraId="3B8B811A">
            <w:pPr>
              <w:pStyle w:val="12"/>
              <w:spacing w:line="360" w:lineRule="auto"/>
              <w:jc w:val="both"/>
              <w:rPr>
                <w:rFonts w:hint="eastAsia"/>
                <w:spacing w:val="-1"/>
                <w:sz w:val="20"/>
                <w:szCs w:val="20"/>
                <w:lang w:eastAsia="zh-CN"/>
              </w:rPr>
            </w:pPr>
            <w:r>
              <w:rPr>
                <w:rFonts w:hint="eastAsia"/>
                <w:spacing w:val="-1"/>
                <w:sz w:val="20"/>
                <w:szCs w:val="20"/>
                <w:lang w:eastAsia="zh-CN"/>
              </w:rPr>
              <w:t>棕榈一烯酸（C16:1）：≤0.2</w:t>
            </w:r>
          </w:p>
        </w:tc>
        <w:tc>
          <w:tcPr>
            <w:tcW w:w="1203" w:type="pct"/>
            <w:vMerge w:val="continue"/>
            <w:vAlign w:val="center"/>
          </w:tcPr>
          <w:p w14:paraId="59E8C9FD">
            <w:pPr>
              <w:pStyle w:val="12"/>
              <w:spacing w:line="360" w:lineRule="auto"/>
              <w:jc w:val="both"/>
              <w:rPr>
                <w:rFonts w:hint="eastAsia"/>
                <w:spacing w:val="-1"/>
                <w:sz w:val="20"/>
                <w:szCs w:val="20"/>
                <w:lang w:eastAsia="zh-CN"/>
              </w:rPr>
            </w:pPr>
          </w:p>
        </w:tc>
        <w:tc>
          <w:tcPr>
            <w:tcW w:w="1345" w:type="pct"/>
            <w:vMerge w:val="continue"/>
            <w:vAlign w:val="center"/>
          </w:tcPr>
          <w:p w14:paraId="0B84AA2B">
            <w:pPr>
              <w:pStyle w:val="12"/>
              <w:spacing w:line="360" w:lineRule="auto"/>
              <w:jc w:val="both"/>
              <w:rPr>
                <w:rFonts w:hint="eastAsia"/>
                <w:spacing w:val="-1"/>
                <w:sz w:val="20"/>
                <w:szCs w:val="20"/>
                <w:lang w:eastAsia="zh-CN"/>
              </w:rPr>
            </w:pPr>
          </w:p>
        </w:tc>
      </w:tr>
      <w:tr w14:paraId="7FEE18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506" w:type="pct"/>
            <w:vMerge w:val="continue"/>
            <w:vAlign w:val="center"/>
          </w:tcPr>
          <w:p w14:paraId="40C4CAFD">
            <w:pPr>
              <w:jc w:val="both"/>
              <w:rPr>
                <w:rFonts w:hint="eastAsia" w:ascii="仿宋" w:hAnsi="仿宋" w:eastAsia="仿宋" w:cs="仿宋"/>
                <w:sz w:val="20"/>
                <w:szCs w:val="20"/>
                <w:lang w:eastAsia="zh-CN"/>
              </w:rPr>
            </w:pPr>
          </w:p>
        </w:tc>
        <w:tc>
          <w:tcPr>
            <w:tcW w:w="1944" w:type="pct"/>
            <w:vAlign w:val="center"/>
          </w:tcPr>
          <w:p w14:paraId="524124DF">
            <w:pPr>
              <w:pStyle w:val="12"/>
              <w:spacing w:line="360" w:lineRule="auto"/>
              <w:jc w:val="both"/>
              <w:rPr>
                <w:rFonts w:hint="eastAsia"/>
                <w:spacing w:val="-1"/>
                <w:sz w:val="20"/>
                <w:szCs w:val="20"/>
              </w:rPr>
            </w:pPr>
            <w:r>
              <w:rPr>
                <w:rFonts w:hint="eastAsia"/>
                <w:spacing w:val="-1"/>
                <w:sz w:val="20"/>
                <w:szCs w:val="20"/>
              </w:rPr>
              <w:t>硬脂酸（C18:0）：0.3~4.8</w:t>
            </w:r>
          </w:p>
        </w:tc>
        <w:tc>
          <w:tcPr>
            <w:tcW w:w="1203" w:type="pct"/>
            <w:vMerge w:val="continue"/>
            <w:vAlign w:val="center"/>
          </w:tcPr>
          <w:p w14:paraId="414C2A79">
            <w:pPr>
              <w:pStyle w:val="12"/>
              <w:spacing w:line="360" w:lineRule="auto"/>
              <w:jc w:val="both"/>
              <w:rPr>
                <w:rFonts w:hint="eastAsia"/>
                <w:spacing w:val="-1"/>
                <w:sz w:val="20"/>
                <w:szCs w:val="20"/>
                <w:lang w:eastAsia="zh-CN"/>
              </w:rPr>
            </w:pPr>
          </w:p>
        </w:tc>
        <w:tc>
          <w:tcPr>
            <w:tcW w:w="1345" w:type="pct"/>
            <w:vMerge w:val="continue"/>
            <w:vAlign w:val="center"/>
          </w:tcPr>
          <w:p w14:paraId="2871C092">
            <w:pPr>
              <w:pStyle w:val="12"/>
              <w:spacing w:line="360" w:lineRule="auto"/>
              <w:jc w:val="both"/>
              <w:rPr>
                <w:rFonts w:hint="eastAsia"/>
                <w:spacing w:val="-1"/>
                <w:sz w:val="20"/>
                <w:szCs w:val="20"/>
                <w:lang w:eastAsia="zh-CN"/>
              </w:rPr>
            </w:pPr>
          </w:p>
        </w:tc>
      </w:tr>
      <w:tr w14:paraId="2F37E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C69F2D1">
            <w:pPr>
              <w:jc w:val="both"/>
              <w:rPr>
                <w:rFonts w:hint="eastAsia" w:ascii="仿宋" w:hAnsi="仿宋" w:eastAsia="仿宋" w:cs="仿宋"/>
                <w:sz w:val="20"/>
                <w:szCs w:val="20"/>
                <w:lang w:eastAsia="zh-CN"/>
              </w:rPr>
            </w:pPr>
          </w:p>
        </w:tc>
        <w:tc>
          <w:tcPr>
            <w:tcW w:w="1944" w:type="pct"/>
            <w:vAlign w:val="center"/>
          </w:tcPr>
          <w:p w14:paraId="030B32D5">
            <w:pPr>
              <w:pStyle w:val="12"/>
              <w:spacing w:line="360" w:lineRule="auto"/>
              <w:jc w:val="both"/>
              <w:rPr>
                <w:rFonts w:hint="eastAsia"/>
                <w:spacing w:val="-1"/>
                <w:sz w:val="20"/>
                <w:szCs w:val="20"/>
              </w:rPr>
            </w:pPr>
            <w:r>
              <w:rPr>
                <w:rFonts w:hint="eastAsia"/>
                <w:spacing w:val="-1"/>
                <w:sz w:val="20"/>
                <w:szCs w:val="20"/>
              </w:rPr>
              <w:t>油酸（C18:1）：68.0~87.0</w:t>
            </w:r>
          </w:p>
        </w:tc>
        <w:tc>
          <w:tcPr>
            <w:tcW w:w="1203" w:type="pct"/>
            <w:vMerge w:val="continue"/>
            <w:vAlign w:val="center"/>
          </w:tcPr>
          <w:p w14:paraId="66BD1C1C">
            <w:pPr>
              <w:pStyle w:val="12"/>
              <w:spacing w:line="360" w:lineRule="auto"/>
              <w:jc w:val="both"/>
              <w:rPr>
                <w:rFonts w:hint="eastAsia"/>
                <w:spacing w:val="-1"/>
                <w:sz w:val="20"/>
                <w:szCs w:val="20"/>
                <w:lang w:eastAsia="zh-CN"/>
              </w:rPr>
            </w:pPr>
          </w:p>
        </w:tc>
        <w:tc>
          <w:tcPr>
            <w:tcW w:w="1345" w:type="pct"/>
            <w:vMerge w:val="continue"/>
            <w:vAlign w:val="center"/>
          </w:tcPr>
          <w:p w14:paraId="3FE01D83">
            <w:pPr>
              <w:pStyle w:val="12"/>
              <w:spacing w:line="360" w:lineRule="auto"/>
              <w:jc w:val="both"/>
              <w:rPr>
                <w:rFonts w:hint="eastAsia"/>
                <w:spacing w:val="-1"/>
                <w:sz w:val="20"/>
                <w:szCs w:val="20"/>
                <w:lang w:eastAsia="zh-CN"/>
              </w:rPr>
            </w:pPr>
          </w:p>
        </w:tc>
      </w:tr>
      <w:tr w14:paraId="0421C2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44DDF07">
            <w:pPr>
              <w:jc w:val="both"/>
              <w:rPr>
                <w:rFonts w:hint="eastAsia" w:ascii="仿宋" w:hAnsi="仿宋" w:eastAsia="仿宋" w:cs="仿宋"/>
                <w:sz w:val="20"/>
                <w:szCs w:val="20"/>
                <w:lang w:eastAsia="zh-CN"/>
              </w:rPr>
            </w:pPr>
          </w:p>
        </w:tc>
        <w:tc>
          <w:tcPr>
            <w:tcW w:w="1944" w:type="pct"/>
            <w:vAlign w:val="center"/>
          </w:tcPr>
          <w:p w14:paraId="3E7401E3">
            <w:pPr>
              <w:pStyle w:val="12"/>
              <w:spacing w:line="360" w:lineRule="auto"/>
              <w:jc w:val="both"/>
              <w:rPr>
                <w:rFonts w:hint="eastAsia"/>
                <w:spacing w:val="-1"/>
                <w:sz w:val="20"/>
                <w:szCs w:val="20"/>
              </w:rPr>
            </w:pPr>
            <w:r>
              <w:rPr>
                <w:rFonts w:hint="eastAsia"/>
                <w:spacing w:val="-1"/>
                <w:sz w:val="20"/>
                <w:szCs w:val="20"/>
              </w:rPr>
              <w:t>亚油酸（C18:2）：3.8~14.0</w:t>
            </w:r>
          </w:p>
        </w:tc>
        <w:tc>
          <w:tcPr>
            <w:tcW w:w="1203" w:type="pct"/>
            <w:vMerge w:val="continue"/>
            <w:vAlign w:val="center"/>
          </w:tcPr>
          <w:p w14:paraId="6EA66494">
            <w:pPr>
              <w:pStyle w:val="12"/>
              <w:spacing w:line="360" w:lineRule="auto"/>
              <w:jc w:val="both"/>
              <w:rPr>
                <w:rFonts w:hint="eastAsia"/>
                <w:spacing w:val="-1"/>
                <w:sz w:val="20"/>
                <w:szCs w:val="20"/>
                <w:lang w:eastAsia="zh-CN"/>
              </w:rPr>
            </w:pPr>
          </w:p>
        </w:tc>
        <w:tc>
          <w:tcPr>
            <w:tcW w:w="1345" w:type="pct"/>
            <w:vMerge w:val="continue"/>
            <w:vAlign w:val="center"/>
          </w:tcPr>
          <w:p w14:paraId="2D16F346">
            <w:pPr>
              <w:pStyle w:val="12"/>
              <w:spacing w:line="360" w:lineRule="auto"/>
              <w:jc w:val="both"/>
              <w:rPr>
                <w:rFonts w:hint="eastAsia"/>
                <w:spacing w:val="-1"/>
                <w:sz w:val="20"/>
                <w:szCs w:val="20"/>
                <w:lang w:eastAsia="zh-CN"/>
              </w:rPr>
            </w:pPr>
          </w:p>
        </w:tc>
      </w:tr>
      <w:tr w14:paraId="684C24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799CF5CE">
            <w:pPr>
              <w:jc w:val="both"/>
              <w:rPr>
                <w:rFonts w:hint="eastAsia" w:ascii="仿宋" w:hAnsi="仿宋" w:eastAsia="仿宋" w:cs="仿宋"/>
                <w:sz w:val="20"/>
                <w:szCs w:val="20"/>
                <w:lang w:eastAsia="zh-CN"/>
              </w:rPr>
            </w:pPr>
          </w:p>
        </w:tc>
        <w:tc>
          <w:tcPr>
            <w:tcW w:w="1944" w:type="pct"/>
            <w:vAlign w:val="center"/>
          </w:tcPr>
          <w:p w14:paraId="5B4AF985">
            <w:pPr>
              <w:pStyle w:val="12"/>
              <w:spacing w:line="360" w:lineRule="auto"/>
              <w:jc w:val="both"/>
              <w:rPr>
                <w:rFonts w:hint="eastAsia"/>
                <w:spacing w:val="-1"/>
                <w:sz w:val="20"/>
                <w:szCs w:val="20"/>
              </w:rPr>
            </w:pPr>
            <w:r>
              <w:rPr>
                <w:rFonts w:hint="eastAsia"/>
                <w:spacing w:val="-1"/>
                <w:sz w:val="20"/>
                <w:szCs w:val="20"/>
              </w:rPr>
              <w:t>亚麻酸（C18:3）：≤1.4</w:t>
            </w:r>
          </w:p>
        </w:tc>
        <w:tc>
          <w:tcPr>
            <w:tcW w:w="1203" w:type="pct"/>
            <w:vMerge w:val="continue"/>
            <w:vAlign w:val="center"/>
          </w:tcPr>
          <w:p w14:paraId="53009ABE">
            <w:pPr>
              <w:pStyle w:val="12"/>
              <w:spacing w:line="360" w:lineRule="auto"/>
              <w:jc w:val="both"/>
              <w:rPr>
                <w:rFonts w:hint="eastAsia"/>
                <w:spacing w:val="-1"/>
                <w:sz w:val="20"/>
                <w:szCs w:val="20"/>
                <w:lang w:eastAsia="zh-CN"/>
              </w:rPr>
            </w:pPr>
          </w:p>
        </w:tc>
        <w:tc>
          <w:tcPr>
            <w:tcW w:w="1345" w:type="pct"/>
            <w:vMerge w:val="continue"/>
            <w:vAlign w:val="center"/>
          </w:tcPr>
          <w:p w14:paraId="7E3E1533">
            <w:pPr>
              <w:pStyle w:val="12"/>
              <w:spacing w:line="360" w:lineRule="auto"/>
              <w:jc w:val="both"/>
              <w:rPr>
                <w:rFonts w:hint="eastAsia"/>
                <w:spacing w:val="-1"/>
                <w:sz w:val="20"/>
                <w:szCs w:val="20"/>
                <w:lang w:eastAsia="zh-CN"/>
              </w:rPr>
            </w:pPr>
          </w:p>
        </w:tc>
      </w:tr>
      <w:tr w14:paraId="447C4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945C328">
            <w:pPr>
              <w:jc w:val="both"/>
              <w:rPr>
                <w:rFonts w:hint="eastAsia" w:ascii="仿宋" w:hAnsi="仿宋" w:eastAsia="仿宋" w:cs="仿宋"/>
                <w:sz w:val="20"/>
                <w:szCs w:val="20"/>
                <w:lang w:eastAsia="zh-CN"/>
              </w:rPr>
            </w:pPr>
          </w:p>
        </w:tc>
        <w:tc>
          <w:tcPr>
            <w:tcW w:w="1944" w:type="pct"/>
            <w:vAlign w:val="center"/>
          </w:tcPr>
          <w:p w14:paraId="44FCEE3B">
            <w:pPr>
              <w:pStyle w:val="12"/>
              <w:spacing w:line="360" w:lineRule="auto"/>
              <w:jc w:val="both"/>
              <w:rPr>
                <w:rFonts w:hint="eastAsia"/>
                <w:spacing w:val="-1"/>
                <w:sz w:val="20"/>
                <w:szCs w:val="20"/>
              </w:rPr>
            </w:pPr>
            <w:r>
              <w:rPr>
                <w:rFonts w:hint="eastAsia"/>
                <w:spacing w:val="-1"/>
                <w:sz w:val="20"/>
                <w:szCs w:val="20"/>
              </w:rPr>
              <w:t>花生酸（C20:0）：≤0.5</w:t>
            </w:r>
          </w:p>
        </w:tc>
        <w:tc>
          <w:tcPr>
            <w:tcW w:w="1203" w:type="pct"/>
            <w:vMerge w:val="continue"/>
            <w:vAlign w:val="center"/>
          </w:tcPr>
          <w:p w14:paraId="0F6A5C95">
            <w:pPr>
              <w:pStyle w:val="12"/>
              <w:spacing w:line="360" w:lineRule="auto"/>
              <w:jc w:val="both"/>
              <w:rPr>
                <w:rFonts w:hint="eastAsia"/>
                <w:spacing w:val="-1"/>
                <w:sz w:val="20"/>
                <w:szCs w:val="20"/>
                <w:lang w:eastAsia="zh-CN"/>
              </w:rPr>
            </w:pPr>
          </w:p>
        </w:tc>
        <w:tc>
          <w:tcPr>
            <w:tcW w:w="1345" w:type="pct"/>
            <w:vMerge w:val="continue"/>
            <w:vAlign w:val="center"/>
          </w:tcPr>
          <w:p w14:paraId="08206E90">
            <w:pPr>
              <w:pStyle w:val="12"/>
              <w:spacing w:line="360" w:lineRule="auto"/>
              <w:jc w:val="both"/>
              <w:rPr>
                <w:rFonts w:hint="eastAsia"/>
                <w:spacing w:val="-1"/>
                <w:sz w:val="20"/>
                <w:szCs w:val="20"/>
                <w:lang w:eastAsia="zh-CN"/>
              </w:rPr>
            </w:pPr>
          </w:p>
        </w:tc>
      </w:tr>
      <w:tr w14:paraId="63149A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2BD750C2">
            <w:pPr>
              <w:jc w:val="both"/>
              <w:rPr>
                <w:rFonts w:hint="eastAsia" w:ascii="仿宋" w:hAnsi="仿宋" w:eastAsia="仿宋" w:cs="仿宋"/>
                <w:sz w:val="20"/>
                <w:szCs w:val="20"/>
                <w:lang w:eastAsia="zh-CN"/>
              </w:rPr>
            </w:pPr>
          </w:p>
        </w:tc>
        <w:tc>
          <w:tcPr>
            <w:tcW w:w="1944" w:type="pct"/>
            <w:vAlign w:val="center"/>
          </w:tcPr>
          <w:p w14:paraId="567010FD">
            <w:pPr>
              <w:pStyle w:val="12"/>
              <w:spacing w:line="360" w:lineRule="auto"/>
              <w:jc w:val="both"/>
              <w:rPr>
                <w:rFonts w:hint="eastAsia"/>
                <w:spacing w:val="-1"/>
                <w:sz w:val="20"/>
                <w:szCs w:val="20"/>
              </w:rPr>
            </w:pPr>
            <w:r>
              <w:rPr>
                <w:rFonts w:hint="eastAsia"/>
                <w:spacing w:val="-1"/>
                <w:sz w:val="20"/>
                <w:szCs w:val="20"/>
              </w:rPr>
              <w:t>花生一烯酸（C20:1）：≤0.7</w:t>
            </w:r>
          </w:p>
        </w:tc>
        <w:tc>
          <w:tcPr>
            <w:tcW w:w="1203" w:type="pct"/>
            <w:vMerge w:val="continue"/>
            <w:vAlign w:val="center"/>
          </w:tcPr>
          <w:p w14:paraId="18D836B2">
            <w:pPr>
              <w:pStyle w:val="12"/>
              <w:spacing w:line="360" w:lineRule="auto"/>
              <w:jc w:val="both"/>
              <w:rPr>
                <w:rFonts w:hint="eastAsia"/>
                <w:spacing w:val="-1"/>
                <w:sz w:val="20"/>
                <w:szCs w:val="20"/>
                <w:lang w:eastAsia="zh-CN"/>
              </w:rPr>
            </w:pPr>
          </w:p>
        </w:tc>
        <w:tc>
          <w:tcPr>
            <w:tcW w:w="1345" w:type="pct"/>
            <w:vMerge w:val="continue"/>
            <w:vAlign w:val="center"/>
          </w:tcPr>
          <w:p w14:paraId="2C903482">
            <w:pPr>
              <w:pStyle w:val="12"/>
              <w:spacing w:line="360" w:lineRule="auto"/>
              <w:jc w:val="both"/>
              <w:rPr>
                <w:rFonts w:hint="eastAsia"/>
                <w:spacing w:val="-1"/>
                <w:sz w:val="20"/>
                <w:szCs w:val="20"/>
                <w:lang w:eastAsia="zh-CN"/>
              </w:rPr>
            </w:pPr>
          </w:p>
        </w:tc>
      </w:tr>
      <w:tr w14:paraId="71AC6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77B0501F">
            <w:pPr>
              <w:jc w:val="both"/>
              <w:rPr>
                <w:rFonts w:hint="eastAsia" w:ascii="仿宋" w:hAnsi="仿宋" w:eastAsia="仿宋" w:cs="仿宋"/>
                <w:sz w:val="20"/>
                <w:szCs w:val="20"/>
                <w:lang w:eastAsia="zh-CN"/>
              </w:rPr>
            </w:pPr>
          </w:p>
        </w:tc>
        <w:tc>
          <w:tcPr>
            <w:tcW w:w="1944" w:type="pct"/>
            <w:vAlign w:val="center"/>
          </w:tcPr>
          <w:p w14:paraId="0BD7B389">
            <w:pPr>
              <w:pStyle w:val="12"/>
              <w:spacing w:line="360" w:lineRule="auto"/>
              <w:jc w:val="both"/>
              <w:rPr>
                <w:rFonts w:hint="eastAsia"/>
                <w:spacing w:val="-1"/>
                <w:sz w:val="20"/>
                <w:szCs w:val="20"/>
              </w:rPr>
            </w:pPr>
            <w:r>
              <w:rPr>
                <w:rFonts w:hint="eastAsia"/>
                <w:spacing w:val="-1"/>
                <w:sz w:val="20"/>
                <w:szCs w:val="20"/>
              </w:rPr>
              <w:t>芥酸（C22:1）：≤0.5</w:t>
            </w:r>
          </w:p>
        </w:tc>
        <w:tc>
          <w:tcPr>
            <w:tcW w:w="1203" w:type="pct"/>
            <w:vMerge w:val="continue"/>
            <w:vAlign w:val="center"/>
          </w:tcPr>
          <w:p w14:paraId="05D01C43">
            <w:pPr>
              <w:pStyle w:val="12"/>
              <w:spacing w:line="360" w:lineRule="auto"/>
              <w:jc w:val="both"/>
              <w:rPr>
                <w:rFonts w:hint="eastAsia"/>
                <w:spacing w:val="-1"/>
                <w:sz w:val="20"/>
                <w:szCs w:val="20"/>
                <w:lang w:eastAsia="zh-CN"/>
              </w:rPr>
            </w:pPr>
          </w:p>
        </w:tc>
        <w:tc>
          <w:tcPr>
            <w:tcW w:w="1345" w:type="pct"/>
            <w:vMerge w:val="continue"/>
            <w:vAlign w:val="center"/>
          </w:tcPr>
          <w:p w14:paraId="7829E687">
            <w:pPr>
              <w:pStyle w:val="12"/>
              <w:spacing w:line="360" w:lineRule="auto"/>
              <w:jc w:val="both"/>
              <w:rPr>
                <w:rFonts w:hint="eastAsia"/>
                <w:spacing w:val="-1"/>
                <w:sz w:val="20"/>
                <w:szCs w:val="20"/>
                <w:lang w:eastAsia="zh-CN"/>
              </w:rPr>
            </w:pPr>
          </w:p>
        </w:tc>
      </w:tr>
      <w:tr w14:paraId="17C470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6E54638E">
            <w:pPr>
              <w:jc w:val="both"/>
              <w:rPr>
                <w:rFonts w:hint="eastAsia" w:ascii="仿宋" w:hAnsi="仿宋" w:eastAsia="仿宋" w:cs="仿宋"/>
                <w:sz w:val="20"/>
                <w:szCs w:val="20"/>
                <w:lang w:eastAsia="zh-CN"/>
              </w:rPr>
            </w:pPr>
          </w:p>
        </w:tc>
        <w:tc>
          <w:tcPr>
            <w:tcW w:w="1944" w:type="pct"/>
            <w:vAlign w:val="center"/>
          </w:tcPr>
          <w:p w14:paraId="4B1BC7C2">
            <w:pPr>
              <w:pStyle w:val="12"/>
              <w:spacing w:line="360" w:lineRule="auto"/>
              <w:jc w:val="both"/>
              <w:rPr>
                <w:rFonts w:hint="eastAsia"/>
                <w:spacing w:val="-1"/>
                <w:sz w:val="20"/>
                <w:szCs w:val="20"/>
              </w:rPr>
            </w:pPr>
            <w:r>
              <w:rPr>
                <w:rFonts w:hint="eastAsia"/>
                <w:spacing w:val="-1"/>
                <w:sz w:val="20"/>
                <w:szCs w:val="20"/>
              </w:rPr>
              <w:t>二十四碳一烯酸（C24:1）：≤0.5</w:t>
            </w:r>
          </w:p>
        </w:tc>
        <w:tc>
          <w:tcPr>
            <w:tcW w:w="1203" w:type="pct"/>
            <w:vMerge w:val="continue"/>
            <w:vAlign w:val="center"/>
          </w:tcPr>
          <w:p w14:paraId="0F4F0127">
            <w:pPr>
              <w:pStyle w:val="12"/>
              <w:spacing w:line="360" w:lineRule="auto"/>
              <w:jc w:val="both"/>
              <w:rPr>
                <w:rFonts w:hint="eastAsia"/>
                <w:spacing w:val="-1"/>
                <w:sz w:val="20"/>
                <w:szCs w:val="20"/>
                <w:lang w:eastAsia="zh-CN"/>
              </w:rPr>
            </w:pPr>
          </w:p>
        </w:tc>
        <w:tc>
          <w:tcPr>
            <w:tcW w:w="1345" w:type="pct"/>
            <w:vMerge w:val="continue"/>
            <w:vAlign w:val="center"/>
          </w:tcPr>
          <w:p w14:paraId="0C1C3356">
            <w:pPr>
              <w:pStyle w:val="12"/>
              <w:spacing w:line="360" w:lineRule="auto"/>
              <w:jc w:val="both"/>
              <w:rPr>
                <w:rFonts w:hint="eastAsia"/>
                <w:spacing w:val="-1"/>
                <w:sz w:val="20"/>
                <w:szCs w:val="20"/>
                <w:lang w:eastAsia="zh-CN"/>
              </w:rPr>
            </w:pPr>
          </w:p>
        </w:tc>
      </w:tr>
      <w:tr w14:paraId="3C9953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41764A40">
            <w:pPr>
              <w:pStyle w:val="12"/>
              <w:spacing w:line="360" w:lineRule="auto"/>
              <w:jc w:val="both"/>
              <w:rPr>
                <w:rFonts w:hint="eastAsia"/>
                <w:sz w:val="20"/>
                <w:szCs w:val="20"/>
                <w:lang w:eastAsia="zh-CN"/>
              </w:rPr>
            </w:pPr>
            <w:r>
              <w:rPr>
                <w:rFonts w:hint="eastAsia"/>
                <w:spacing w:val="-4"/>
                <w:sz w:val="20"/>
                <w:szCs w:val="20"/>
              </w:rPr>
              <w:t>感官要求</w:t>
            </w:r>
          </w:p>
        </w:tc>
        <w:tc>
          <w:tcPr>
            <w:tcW w:w="1944" w:type="pct"/>
            <w:vAlign w:val="center"/>
          </w:tcPr>
          <w:p w14:paraId="5B9ED85F">
            <w:pPr>
              <w:pStyle w:val="12"/>
              <w:spacing w:line="360" w:lineRule="auto"/>
              <w:jc w:val="both"/>
              <w:rPr>
                <w:rFonts w:hint="eastAsia"/>
                <w:spacing w:val="-1"/>
                <w:sz w:val="20"/>
                <w:szCs w:val="20"/>
                <w:lang w:eastAsia="zh-CN"/>
              </w:rPr>
            </w:pPr>
            <w:r>
              <w:rPr>
                <w:rFonts w:hint="eastAsia"/>
                <w:spacing w:val="-1"/>
                <w:sz w:val="20"/>
                <w:szCs w:val="20"/>
                <w:lang w:eastAsia="zh-CN"/>
              </w:rPr>
              <w:t>外观：淡黄色至金黄色油状液体/无色至微黄色油状液体</w:t>
            </w:r>
          </w:p>
        </w:tc>
        <w:tc>
          <w:tcPr>
            <w:tcW w:w="1203" w:type="pct"/>
            <w:vAlign w:val="center"/>
          </w:tcPr>
          <w:p w14:paraId="7F65D5E6">
            <w:pPr>
              <w:pStyle w:val="12"/>
              <w:spacing w:line="360" w:lineRule="auto"/>
              <w:jc w:val="both"/>
              <w:rPr>
                <w:rFonts w:hint="eastAsia"/>
                <w:spacing w:val="-1"/>
                <w:sz w:val="20"/>
                <w:szCs w:val="20"/>
                <w:lang w:eastAsia="zh-CN"/>
              </w:rPr>
            </w:pPr>
            <w:r>
              <w:rPr>
                <w:rFonts w:hint="eastAsia"/>
                <w:spacing w:val="-1"/>
                <w:sz w:val="20"/>
                <w:szCs w:val="20"/>
                <w:lang w:eastAsia="zh-CN"/>
              </w:rPr>
              <w:t>外观是对色泽感观的规定，根据本品的理化特性制定本指标。</w:t>
            </w:r>
          </w:p>
        </w:tc>
        <w:tc>
          <w:tcPr>
            <w:tcW w:w="1345" w:type="pct"/>
            <w:vAlign w:val="center"/>
          </w:tcPr>
          <w:p w14:paraId="75B00450">
            <w:pPr>
              <w:pStyle w:val="12"/>
              <w:spacing w:line="360" w:lineRule="auto"/>
              <w:jc w:val="both"/>
              <w:rPr>
                <w:rFonts w:hint="eastAsia"/>
                <w:spacing w:val="-1"/>
                <w:sz w:val="20"/>
                <w:szCs w:val="20"/>
                <w:lang w:eastAsia="zh-CN"/>
              </w:rPr>
            </w:pPr>
            <w:r>
              <w:rPr>
                <w:rFonts w:hint="eastAsia"/>
                <w:spacing w:val="-1"/>
                <w:sz w:val="20"/>
                <w:szCs w:val="20"/>
                <w:lang w:eastAsia="zh-CN"/>
              </w:rPr>
              <w:t>在非直射阳光条件下，取适量样品于比色管中进行目测</w:t>
            </w:r>
          </w:p>
        </w:tc>
      </w:tr>
      <w:tr w14:paraId="18437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F24496B">
            <w:pPr>
              <w:jc w:val="both"/>
              <w:rPr>
                <w:rFonts w:hint="eastAsia" w:ascii="仿宋" w:hAnsi="仿宋" w:eastAsia="仿宋" w:cs="仿宋"/>
                <w:sz w:val="20"/>
                <w:szCs w:val="20"/>
                <w:lang w:eastAsia="zh-CN"/>
              </w:rPr>
            </w:pPr>
          </w:p>
        </w:tc>
        <w:tc>
          <w:tcPr>
            <w:tcW w:w="1944" w:type="pct"/>
            <w:vAlign w:val="center"/>
          </w:tcPr>
          <w:p w14:paraId="0CA7D8A7">
            <w:pPr>
              <w:pStyle w:val="12"/>
              <w:spacing w:line="360" w:lineRule="auto"/>
              <w:jc w:val="both"/>
              <w:rPr>
                <w:rFonts w:hint="eastAsia"/>
                <w:spacing w:val="-1"/>
                <w:sz w:val="20"/>
                <w:szCs w:val="20"/>
              </w:rPr>
            </w:pPr>
            <w:r>
              <w:rPr>
                <w:rFonts w:hint="eastAsia"/>
                <w:spacing w:val="-1"/>
                <w:sz w:val="20"/>
                <w:szCs w:val="20"/>
              </w:rPr>
              <w:t>透明度（20℃)：清澈</w:t>
            </w:r>
          </w:p>
        </w:tc>
        <w:tc>
          <w:tcPr>
            <w:tcW w:w="1203" w:type="pct"/>
            <w:vAlign w:val="center"/>
          </w:tcPr>
          <w:p w14:paraId="65283CFE">
            <w:pPr>
              <w:pStyle w:val="12"/>
              <w:spacing w:line="360" w:lineRule="auto"/>
              <w:jc w:val="both"/>
              <w:rPr>
                <w:rFonts w:hint="eastAsia"/>
                <w:spacing w:val="-1"/>
                <w:sz w:val="20"/>
                <w:szCs w:val="20"/>
                <w:lang w:eastAsia="zh-CN"/>
              </w:rPr>
            </w:pPr>
            <w:r>
              <w:rPr>
                <w:rFonts w:hint="eastAsia"/>
                <w:spacing w:val="-1"/>
                <w:sz w:val="20"/>
                <w:szCs w:val="20"/>
                <w:lang w:eastAsia="zh-CN"/>
              </w:rPr>
              <w:t>透明度是对原料外观的规定，根据本品的理化特性制定本指标。</w:t>
            </w:r>
          </w:p>
        </w:tc>
        <w:tc>
          <w:tcPr>
            <w:tcW w:w="1345" w:type="pct"/>
            <w:vAlign w:val="center"/>
          </w:tcPr>
          <w:p w14:paraId="13B27369">
            <w:pPr>
              <w:pStyle w:val="12"/>
              <w:spacing w:line="360" w:lineRule="auto"/>
              <w:jc w:val="both"/>
              <w:rPr>
                <w:rFonts w:hint="eastAsia"/>
                <w:spacing w:val="-1"/>
                <w:sz w:val="20"/>
                <w:szCs w:val="20"/>
                <w:lang w:eastAsia="zh-CN"/>
              </w:rPr>
            </w:pPr>
            <w:r>
              <w:rPr>
                <w:rFonts w:hint="eastAsia"/>
                <w:spacing w:val="-1"/>
                <w:sz w:val="20"/>
                <w:szCs w:val="20"/>
              </w:rPr>
              <w:t>GB/T5525-2008《植物油脂透明度、气味、滋味鉴定法》</w:t>
            </w:r>
          </w:p>
        </w:tc>
      </w:tr>
      <w:tr w14:paraId="063F96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1545E6A7">
            <w:pPr>
              <w:jc w:val="both"/>
              <w:rPr>
                <w:rFonts w:hint="eastAsia" w:ascii="仿宋" w:hAnsi="仿宋" w:eastAsia="仿宋" w:cs="仿宋"/>
                <w:sz w:val="20"/>
                <w:szCs w:val="20"/>
                <w:lang w:eastAsia="zh-CN"/>
              </w:rPr>
            </w:pPr>
          </w:p>
        </w:tc>
        <w:tc>
          <w:tcPr>
            <w:tcW w:w="1944" w:type="pct"/>
            <w:vAlign w:val="center"/>
          </w:tcPr>
          <w:p w14:paraId="373843B7">
            <w:pPr>
              <w:pStyle w:val="12"/>
              <w:spacing w:line="360" w:lineRule="auto"/>
              <w:jc w:val="both"/>
              <w:rPr>
                <w:rFonts w:hint="eastAsia"/>
                <w:spacing w:val="-1"/>
                <w:sz w:val="20"/>
                <w:szCs w:val="20"/>
                <w:lang w:eastAsia="zh-CN"/>
              </w:rPr>
            </w:pPr>
            <w:r>
              <w:rPr>
                <w:rFonts w:hint="eastAsia"/>
                <w:spacing w:val="-1"/>
                <w:sz w:val="20"/>
                <w:szCs w:val="20"/>
                <w:lang w:eastAsia="zh-CN"/>
              </w:rPr>
              <w:t>气味：具有油茶籽油固有的气味和滋味，无异味</w:t>
            </w:r>
          </w:p>
        </w:tc>
        <w:tc>
          <w:tcPr>
            <w:tcW w:w="1203" w:type="pct"/>
            <w:vAlign w:val="center"/>
          </w:tcPr>
          <w:p w14:paraId="05E4DED9">
            <w:pPr>
              <w:pStyle w:val="12"/>
              <w:spacing w:line="360" w:lineRule="auto"/>
              <w:jc w:val="both"/>
              <w:rPr>
                <w:rFonts w:hint="eastAsia"/>
                <w:spacing w:val="-1"/>
                <w:sz w:val="20"/>
                <w:szCs w:val="20"/>
                <w:lang w:eastAsia="zh-CN"/>
              </w:rPr>
            </w:pPr>
            <w:r>
              <w:rPr>
                <w:rFonts w:hint="eastAsia"/>
                <w:spacing w:val="-1"/>
                <w:sz w:val="20"/>
                <w:szCs w:val="20"/>
                <w:lang w:eastAsia="zh-CN"/>
              </w:rPr>
              <w:t>气味是对原料感官的规定，根据本品的理化特性制定本指标。</w:t>
            </w:r>
          </w:p>
        </w:tc>
        <w:tc>
          <w:tcPr>
            <w:tcW w:w="1345" w:type="pct"/>
            <w:vAlign w:val="center"/>
          </w:tcPr>
          <w:p w14:paraId="6AA544D7">
            <w:pPr>
              <w:pStyle w:val="12"/>
              <w:spacing w:line="360" w:lineRule="auto"/>
              <w:jc w:val="both"/>
              <w:rPr>
                <w:rFonts w:hint="eastAsia"/>
                <w:spacing w:val="-1"/>
                <w:sz w:val="20"/>
                <w:szCs w:val="20"/>
                <w:lang w:eastAsia="zh-CN"/>
              </w:rPr>
            </w:pPr>
            <w:r>
              <w:rPr>
                <w:rFonts w:hint="eastAsia"/>
                <w:spacing w:val="-1"/>
                <w:sz w:val="20"/>
                <w:szCs w:val="20"/>
              </w:rPr>
              <w:t>GB/T5525-2008《植物油脂透明度、气味、滋味鉴定法》</w:t>
            </w:r>
          </w:p>
        </w:tc>
      </w:tr>
      <w:tr w14:paraId="7171B1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554A00D3">
            <w:pPr>
              <w:pStyle w:val="12"/>
              <w:spacing w:line="360" w:lineRule="auto"/>
              <w:jc w:val="both"/>
              <w:rPr>
                <w:rFonts w:hint="eastAsia"/>
                <w:sz w:val="20"/>
                <w:szCs w:val="20"/>
                <w:lang w:eastAsia="zh-CN"/>
              </w:rPr>
            </w:pPr>
            <w:r>
              <w:rPr>
                <w:rFonts w:hint="eastAsia"/>
                <w:spacing w:val="-4"/>
                <w:sz w:val="20"/>
                <w:szCs w:val="20"/>
              </w:rPr>
              <w:t>理化要求</w:t>
            </w:r>
          </w:p>
        </w:tc>
        <w:tc>
          <w:tcPr>
            <w:tcW w:w="1944" w:type="pct"/>
            <w:vAlign w:val="center"/>
          </w:tcPr>
          <w:p w14:paraId="3452EBDD">
            <w:pPr>
              <w:pStyle w:val="12"/>
              <w:spacing w:line="360" w:lineRule="auto"/>
              <w:jc w:val="both"/>
              <w:rPr>
                <w:rFonts w:hint="eastAsia"/>
                <w:spacing w:val="-1"/>
                <w:sz w:val="20"/>
                <w:szCs w:val="20"/>
                <w:lang w:eastAsia="zh-CN"/>
              </w:rPr>
            </w:pPr>
            <w:r>
              <w:rPr>
                <w:rFonts w:hint="eastAsia"/>
                <w:spacing w:val="-1"/>
                <w:sz w:val="20"/>
                <w:szCs w:val="20"/>
                <w:lang w:eastAsia="zh-CN"/>
              </w:rPr>
              <w:t>水分及挥发物含量/%：≤5</w:t>
            </w:r>
          </w:p>
        </w:tc>
        <w:tc>
          <w:tcPr>
            <w:tcW w:w="1203" w:type="pct"/>
            <w:vAlign w:val="center"/>
          </w:tcPr>
          <w:p w14:paraId="7F17FC3F">
            <w:pPr>
              <w:pStyle w:val="12"/>
              <w:spacing w:line="360" w:lineRule="auto"/>
              <w:jc w:val="both"/>
              <w:rPr>
                <w:rFonts w:hint="eastAsia"/>
                <w:spacing w:val="-1"/>
                <w:sz w:val="20"/>
                <w:szCs w:val="20"/>
                <w:lang w:eastAsia="zh-CN"/>
              </w:rPr>
            </w:pPr>
            <w:r>
              <w:rPr>
                <w:rFonts w:hint="eastAsia"/>
                <w:spacing w:val="-1"/>
                <w:sz w:val="20"/>
                <w:szCs w:val="20"/>
                <w:lang w:eastAsia="zh-CN"/>
              </w:rPr>
              <w:t>水分及挥发物是对原料含水率的规定，根据本品的理化特性制定本指标。</w:t>
            </w:r>
          </w:p>
        </w:tc>
        <w:tc>
          <w:tcPr>
            <w:tcW w:w="1345" w:type="pct"/>
            <w:vAlign w:val="center"/>
          </w:tcPr>
          <w:p w14:paraId="54F077B7">
            <w:pPr>
              <w:pStyle w:val="12"/>
              <w:spacing w:line="360" w:lineRule="auto"/>
              <w:jc w:val="both"/>
              <w:rPr>
                <w:rFonts w:hint="eastAsia"/>
                <w:spacing w:val="-1"/>
                <w:sz w:val="20"/>
                <w:szCs w:val="20"/>
                <w:lang w:eastAsia="zh-CN"/>
              </w:rPr>
            </w:pPr>
            <w:r>
              <w:rPr>
                <w:rFonts w:hint="eastAsia"/>
                <w:spacing w:val="-1"/>
                <w:sz w:val="20"/>
                <w:szCs w:val="20"/>
                <w:lang w:eastAsia="zh-CN"/>
              </w:rPr>
              <w:t>GB5009.236-2016《食品安全国家标准动植物油脂水分及挥发物的测定》</w:t>
            </w:r>
          </w:p>
        </w:tc>
      </w:tr>
      <w:tr w14:paraId="21CF04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125F6915">
            <w:pPr>
              <w:jc w:val="both"/>
              <w:rPr>
                <w:rFonts w:hint="eastAsia" w:ascii="仿宋" w:hAnsi="仿宋" w:eastAsia="仿宋" w:cs="仿宋"/>
                <w:sz w:val="20"/>
                <w:szCs w:val="20"/>
                <w:lang w:eastAsia="zh-CN"/>
              </w:rPr>
            </w:pPr>
          </w:p>
        </w:tc>
        <w:tc>
          <w:tcPr>
            <w:tcW w:w="1944" w:type="pct"/>
            <w:vAlign w:val="center"/>
          </w:tcPr>
          <w:p w14:paraId="7EDC7440">
            <w:pPr>
              <w:pStyle w:val="12"/>
              <w:spacing w:line="360" w:lineRule="auto"/>
              <w:jc w:val="both"/>
              <w:rPr>
                <w:rFonts w:hint="eastAsia"/>
                <w:spacing w:val="-1"/>
                <w:sz w:val="20"/>
                <w:szCs w:val="20"/>
              </w:rPr>
            </w:pPr>
            <w:r>
              <w:rPr>
                <w:rFonts w:hint="eastAsia"/>
                <w:spacing w:val="-1"/>
                <w:sz w:val="20"/>
                <w:szCs w:val="20"/>
              </w:rPr>
              <w:t>不溶性杂质含量/%：≤0.20</w:t>
            </w:r>
          </w:p>
        </w:tc>
        <w:tc>
          <w:tcPr>
            <w:tcW w:w="1203" w:type="pct"/>
            <w:vAlign w:val="center"/>
          </w:tcPr>
          <w:p w14:paraId="3BA6722B">
            <w:pPr>
              <w:pStyle w:val="12"/>
              <w:spacing w:line="360" w:lineRule="auto"/>
              <w:jc w:val="both"/>
              <w:rPr>
                <w:rFonts w:hint="eastAsia"/>
                <w:spacing w:val="-1"/>
                <w:sz w:val="20"/>
                <w:szCs w:val="20"/>
                <w:lang w:eastAsia="zh-CN"/>
              </w:rPr>
            </w:pPr>
            <w:r>
              <w:rPr>
                <w:rFonts w:hint="eastAsia"/>
                <w:spacing w:val="-1"/>
                <w:sz w:val="20"/>
                <w:szCs w:val="20"/>
                <w:lang w:eastAsia="zh-CN"/>
              </w:rPr>
              <w:t>不溶性杂质含量是对原料杂质存在情况的规定，根据本品的理化特性制定本指标。</w:t>
            </w:r>
          </w:p>
        </w:tc>
        <w:tc>
          <w:tcPr>
            <w:tcW w:w="1345" w:type="pct"/>
            <w:vAlign w:val="center"/>
          </w:tcPr>
          <w:p w14:paraId="3641FA14">
            <w:pPr>
              <w:pStyle w:val="12"/>
              <w:spacing w:line="360" w:lineRule="auto"/>
              <w:jc w:val="both"/>
              <w:rPr>
                <w:rFonts w:hint="eastAsia"/>
                <w:spacing w:val="-1"/>
                <w:sz w:val="20"/>
                <w:szCs w:val="20"/>
                <w:lang w:eastAsia="zh-CN"/>
              </w:rPr>
            </w:pPr>
            <w:r>
              <w:rPr>
                <w:rFonts w:hint="eastAsia"/>
                <w:spacing w:val="-1"/>
                <w:sz w:val="20"/>
                <w:szCs w:val="20"/>
                <w:lang w:eastAsia="zh-CN"/>
              </w:rPr>
              <w:t>GB/T15688-2024《动植物油脂不溶性杂质含量的测定》</w:t>
            </w:r>
          </w:p>
        </w:tc>
      </w:tr>
      <w:tr w14:paraId="4C9F5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131BB6DA">
            <w:pPr>
              <w:jc w:val="both"/>
              <w:rPr>
                <w:rFonts w:hint="eastAsia" w:ascii="仿宋" w:hAnsi="仿宋" w:eastAsia="仿宋" w:cs="仿宋"/>
                <w:sz w:val="20"/>
                <w:szCs w:val="20"/>
                <w:lang w:eastAsia="zh-CN"/>
              </w:rPr>
            </w:pPr>
          </w:p>
        </w:tc>
        <w:tc>
          <w:tcPr>
            <w:tcW w:w="1944" w:type="pct"/>
            <w:vAlign w:val="center"/>
          </w:tcPr>
          <w:p w14:paraId="59ACC464">
            <w:pPr>
              <w:pStyle w:val="12"/>
              <w:spacing w:line="360" w:lineRule="auto"/>
              <w:jc w:val="both"/>
              <w:rPr>
                <w:rFonts w:hint="eastAsia"/>
                <w:spacing w:val="-1"/>
                <w:sz w:val="20"/>
                <w:szCs w:val="20"/>
                <w:lang w:eastAsia="zh-CN"/>
              </w:rPr>
            </w:pPr>
          </w:p>
          <w:p w14:paraId="1F490712">
            <w:pPr>
              <w:pStyle w:val="12"/>
              <w:spacing w:line="360" w:lineRule="auto"/>
              <w:jc w:val="both"/>
              <w:rPr>
                <w:rFonts w:hint="eastAsia"/>
                <w:spacing w:val="-1"/>
                <w:sz w:val="20"/>
                <w:szCs w:val="20"/>
                <w:lang w:eastAsia="zh-CN"/>
              </w:rPr>
            </w:pPr>
          </w:p>
          <w:p w14:paraId="0BB039DD">
            <w:pPr>
              <w:pStyle w:val="12"/>
              <w:spacing w:line="360" w:lineRule="auto"/>
              <w:jc w:val="both"/>
              <w:rPr>
                <w:rFonts w:hint="eastAsia"/>
                <w:spacing w:val="-1"/>
                <w:sz w:val="20"/>
                <w:szCs w:val="20"/>
                <w:lang w:eastAsia="zh-CN"/>
              </w:rPr>
            </w:pPr>
            <w:r>
              <w:rPr>
                <w:rFonts w:hint="eastAsia"/>
                <w:spacing w:val="-1"/>
                <w:sz w:val="20"/>
                <w:szCs w:val="20"/>
                <w:lang w:eastAsia="zh-CN"/>
              </w:rPr>
              <w:t>酸价（以KOH计）（mg/g）：≤4.0</w:t>
            </w:r>
          </w:p>
        </w:tc>
        <w:tc>
          <w:tcPr>
            <w:tcW w:w="1203" w:type="pct"/>
            <w:vAlign w:val="center"/>
          </w:tcPr>
          <w:p w14:paraId="62F25D51">
            <w:pPr>
              <w:pStyle w:val="12"/>
              <w:spacing w:line="360" w:lineRule="auto"/>
              <w:jc w:val="both"/>
              <w:rPr>
                <w:rFonts w:hint="eastAsia"/>
                <w:spacing w:val="-1"/>
                <w:sz w:val="20"/>
                <w:szCs w:val="20"/>
                <w:lang w:eastAsia="zh-CN"/>
              </w:rPr>
            </w:pPr>
            <w:r>
              <w:rPr>
                <w:rFonts w:hint="eastAsia"/>
                <w:spacing w:val="-1"/>
                <w:sz w:val="20"/>
                <w:szCs w:val="20"/>
                <w:lang w:eastAsia="zh-CN"/>
              </w:rPr>
              <w:t>酸价是对原料中游离羧酸集团数量的一个计量规定，根据本品的理化特性制定本指标。</w:t>
            </w:r>
          </w:p>
        </w:tc>
        <w:tc>
          <w:tcPr>
            <w:tcW w:w="1345" w:type="pct"/>
            <w:vAlign w:val="center"/>
          </w:tcPr>
          <w:p w14:paraId="7AF3078D">
            <w:pPr>
              <w:pStyle w:val="12"/>
              <w:spacing w:line="360" w:lineRule="auto"/>
              <w:jc w:val="both"/>
              <w:rPr>
                <w:rFonts w:hint="eastAsia"/>
                <w:spacing w:val="-1"/>
                <w:sz w:val="20"/>
                <w:szCs w:val="20"/>
                <w:lang w:eastAsia="zh-CN"/>
              </w:rPr>
            </w:pPr>
            <w:r>
              <w:rPr>
                <w:rFonts w:hint="eastAsia"/>
                <w:spacing w:val="-1"/>
                <w:sz w:val="20"/>
                <w:szCs w:val="20"/>
                <w:lang w:eastAsia="zh-CN"/>
              </w:rPr>
              <w:t>GB5009.229-2016《食品安全国家标准食品中酸价的测定》</w:t>
            </w:r>
          </w:p>
        </w:tc>
      </w:tr>
      <w:tr w14:paraId="6EE09B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6F50C189">
            <w:pPr>
              <w:jc w:val="both"/>
              <w:rPr>
                <w:rFonts w:hint="eastAsia" w:ascii="仿宋" w:hAnsi="仿宋" w:eastAsia="仿宋" w:cs="仿宋"/>
                <w:sz w:val="20"/>
                <w:szCs w:val="20"/>
                <w:lang w:eastAsia="zh-CN"/>
              </w:rPr>
            </w:pPr>
          </w:p>
        </w:tc>
        <w:tc>
          <w:tcPr>
            <w:tcW w:w="1944" w:type="pct"/>
            <w:vAlign w:val="center"/>
          </w:tcPr>
          <w:p w14:paraId="2F51B320">
            <w:pPr>
              <w:pStyle w:val="12"/>
              <w:spacing w:line="360" w:lineRule="auto"/>
              <w:jc w:val="both"/>
              <w:rPr>
                <w:rFonts w:hint="eastAsia"/>
                <w:spacing w:val="-1"/>
                <w:sz w:val="20"/>
                <w:szCs w:val="20"/>
                <w:lang w:eastAsia="zh-CN"/>
              </w:rPr>
            </w:pPr>
          </w:p>
          <w:p w14:paraId="07F3F5D6">
            <w:pPr>
              <w:pStyle w:val="12"/>
              <w:spacing w:line="360" w:lineRule="auto"/>
              <w:jc w:val="both"/>
              <w:rPr>
                <w:rFonts w:hint="eastAsia"/>
                <w:spacing w:val="-1"/>
                <w:sz w:val="20"/>
                <w:szCs w:val="20"/>
                <w:lang w:eastAsia="zh-CN"/>
              </w:rPr>
            </w:pPr>
          </w:p>
          <w:p w14:paraId="590C7DAE">
            <w:pPr>
              <w:pStyle w:val="12"/>
              <w:spacing w:line="360" w:lineRule="auto"/>
              <w:jc w:val="both"/>
              <w:rPr>
                <w:rFonts w:hint="eastAsia"/>
                <w:spacing w:val="-1"/>
                <w:sz w:val="20"/>
                <w:szCs w:val="20"/>
                <w:lang w:eastAsia="zh-CN"/>
              </w:rPr>
            </w:pPr>
            <w:r>
              <w:rPr>
                <w:rFonts w:hint="eastAsia"/>
                <w:spacing w:val="-1"/>
                <w:sz w:val="20"/>
                <w:szCs w:val="20"/>
                <w:lang w:eastAsia="zh-CN"/>
              </w:rPr>
              <w:t>过氧化值（g/100g）：≤0.25</w:t>
            </w:r>
          </w:p>
        </w:tc>
        <w:tc>
          <w:tcPr>
            <w:tcW w:w="1203" w:type="pct"/>
            <w:vAlign w:val="center"/>
          </w:tcPr>
          <w:p w14:paraId="44D28D7A">
            <w:pPr>
              <w:pStyle w:val="12"/>
              <w:spacing w:line="360" w:lineRule="auto"/>
              <w:jc w:val="both"/>
              <w:rPr>
                <w:rFonts w:hint="eastAsia"/>
                <w:spacing w:val="-1"/>
                <w:sz w:val="20"/>
                <w:szCs w:val="20"/>
                <w:lang w:eastAsia="zh-CN"/>
              </w:rPr>
            </w:pPr>
            <w:r>
              <w:rPr>
                <w:rFonts w:hint="eastAsia"/>
                <w:spacing w:val="-1"/>
                <w:sz w:val="20"/>
                <w:szCs w:val="20"/>
                <w:lang w:eastAsia="zh-CN"/>
              </w:rPr>
              <w:t>过氧化值是对油脂原料被氧化程度的一个规定，根据本品的理化特性制定本指标。</w:t>
            </w:r>
          </w:p>
        </w:tc>
        <w:tc>
          <w:tcPr>
            <w:tcW w:w="1345" w:type="pct"/>
            <w:vAlign w:val="center"/>
          </w:tcPr>
          <w:p w14:paraId="51EFAF2B">
            <w:pPr>
              <w:pStyle w:val="12"/>
              <w:spacing w:line="360" w:lineRule="auto"/>
              <w:jc w:val="both"/>
              <w:rPr>
                <w:rFonts w:hint="eastAsia"/>
                <w:spacing w:val="-1"/>
                <w:sz w:val="20"/>
                <w:szCs w:val="20"/>
                <w:lang w:eastAsia="zh-CN"/>
              </w:rPr>
            </w:pPr>
            <w:r>
              <w:rPr>
                <w:rFonts w:hint="eastAsia"/>
                <w:spacing w:val="-1"/>
                <w:sz w:val="20"/>
                <w:szCs w:val="20"/>
                <w:lang w:eastAsia="zh-CN"/>
              </w:rPr>
              <w:t>GB5009.227-2023《食品安全国家标准食品中过氧化值的测定》</w:t>
            </w:r>
          </w:p>
        </w:tc>
      </w:tr>
      <w:tr w14:paraId="60580D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586BC191">
            <w:pPr>
              <w:pStyle w:val="12"/>
              <w:spacing w:line="360" w:lineRule="auto"/>
              <w:jc w:val="both"/>
              <w:rPr>
                <w:rFonts w:hint="eastAsia"/>
                <w:sz w:val="20"/>
                <w:szCs w:val="20"/>
                <w:lang w:eastAsia="zh-CN"/>
              </w:rPr>
            </w:pPr>
            <w:r>
              <w:rPr>
                <w:rFonts w:hint="eastAsia"/>
                <w:spacing w:val="-5"/>
                <w:sz w:val="20"/>
                <w:szCs w:val="20"/>
              </w:rPr>
              <w:t>活性成分</w:t>
            </w:r>
          </w:p>
        </w:tc>
        <w:tc>
          <w:tcPr>
            <w:tcW w:w="3279" w:type="dxa"/>
            <w:vAlign w:val="center"/>
          </w:tcPr>
          <w:p w14:paraId="3855087F">
            <w:pPr>
              <w:rPr>
                <w:rFonts w:hint="eastAsia" w:ascii="仿宋" w:hAnsi="仿宋" w:eastAsia="仿宋" w:cs="仿宋"/>
                <w:spacing w:val="-1"/>
                <w:sz w:val="20"/>
                <w:szCs w:val="20"/>
                <w:lang w:eastAsia="zh-CN"/>
              </w:rPr>
            </w:pPr>
            <w:r>
              <w:rPr>
                <w:rFonts w:ascii="仿宋" w:hAnsi="仿宋" w:eastAsia="仿宋" w:cs="仿宋"/>
                <w:spacing w:val="-1"/>
                <w:sz w:val="20"/>
                <w:szCs w:val="20"/>
                <w:lang w:eastAsia="zh-CN"/>
              </w:rPr>
              <w:t>生育酚（mg/kg）</w:t>
            </w:r>
            <w:r>
              <w:rPr>
                <w:rFonts w:hint="eastAsia" w:ascii="仿宋" w:hAnsi="仿宋" w:eastAsia="仿宋" w:cs="仿宋"/>
                <w:spacing w:val="-1"/>
                <w:sz w:val="20"/>
                <w:szCs w:val="20"/>
                <w:lang w:eastAsia="zh-CN"/>
              </w:rPr>
              <w:t>：</w:t>
            </w:r>
            <w:r>
              <w:rPr>
                <w:rFonts w:ascii="仿宋" w:hAnsi="仿宋" w:eastAsia="仿宋" w:cs="仿宋"/>
                <w:spacing w:val="-1"/>
                <w:sz w:val="20"/>
                <w:szCs w:val="20"/>
                <w:lang w:eastAsia="zh-CN"/>
              </w:rPr>
              <w:t>≥</w:t>
            </w:r>
            <w:r>
              <w:rPr>
                <w:rFonts w:hint="eastAsia" w:ascii="仿宋" w:hAnsi="仿宋" w:eastAsia="仿宋" w:cs="仿宋"/>
                <w:spacing w:val="-1"/>
                <w:sz w:val="20"/>
                <w:szCs w:val="20"/>
                <w:lang w:eastAsia="zh-CN"/>
              </w:rPr>
              <w:t>30</w:t>
            </w:r>
          </w:p>
        </w:tc>
        <w:tc>
          <w:tcPr>
            <w:tcW w:w="2029" w:type="dxa"/>
          </w:tcPr>
          <w:p w14:paraId="204D6E4C">
            <w:pPr>
              <w:rPr>
                <w:rFonts w:hint="eastAsia" w:ascii="仿宋" w:hAnsi="仿宋" w:eastAsia="仿宋" w:cs="仿宋"/>
                <w:spacing w:val="-1"/>
                <w:sz w:val="20"/>
                <w:szCs w:val="20"/>
                <w:lang w:eastAsia="zh-CN"/>
              </w:rPr>
            </w:pPr>
            <w:r>
              <w:rPr>
                <w:rFonts w:hint="eastAsia" w:ascii="仿宋" w:hAnsi="仿宋" w:eastAsia="仿宋" w:cs="仿宋"/>
                <w:lang w:eastAsia="zh-CN"/>
              </w:rPr>
              <w:t>生育酚是油茶籽油中的主要特征成分，根据本品的特征成分含量特性制定本指标。</w:t>
            </w:r>
          </w:p>
        </w:tc>
        <w:tc>
          <w:tcPr>
            <w:tcW w:w="2269" w:type="dxa"/>
          </w:tcPr>
          <w:p w14:paraId="09B231F4">
            <w:pPr>
              <w:rPr>
                <w:rFonts w:hint="eastAsia" w:ascii="仿宋" w:hAnsi="仿宋" w:eastAsia="仿宋" w:cs="仿宋"/>
                <w:spacing w:val="-1"/>
                <w:sz w:val="20"/>
                <w:szCs w:val="20"/>
                <w:lang w:eastAsia="zh-CN"/>
              </w:rPr>
            </w:pPr>
            <w:r>
              <w:rPr>
                <w:rFonts w:hint="eastAsia" w:ascii="仿宋" w:hAnsi="仿宋" w:eastAsia="仿宋" w:cs="仿宋"/>
                <w:lang w:eastAsia="zh-CN"/>
              </w:rPr>
              <w:t>GB 5009.82-2016《食品安全国家标准 食品中维生素A、D、E的测定》</w:t>
            </w:r>
          </w:p>
        </w:tc>
      </w:tr>
      <w:tr w14:paraId="736E0E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3C7B8209">
            <w:pPr>
              <w:jc w:val="both"/>
              <w:rPr>
                <w:rFonts w:hint="eastAsia" w:ascii="仿宋" w:hAnsi="仿宋" w:eastAsia="仿宋" w:cs="仿宋"/>
                <w:sz w:val="20"/>
                <w:szCs w:val="20"/>
                <w:lang w:eastAsia="zh-CN"/>
              </w:rPr>
            </w:pPr>
          </w:p>
        </w:tc>
        <w:tc>
          <w:tcPr>
            <w:tcW w:w="3279" w:type="dxa"/>
            <w:vAlign w:val="center"/>
          </w:tcPr>
          <w:p w14:paraId="3E519B8B">
            <w:pPr>
              <w:rPr>
                <w:rFonts w:hint="eastAsia" w:ascii="仿宋" w:hAnsi="仿宋" w:eastAsia="仿宋" w:cs="仿宋"/>
                <w:spacing w:val="-1"/>
                <w:sz w:val="20"/>
                <w:szCs w:val="20"/>
                <w:lang w:eastAsia="zh-CN"/>
              </w:rPr>
            </w:pPr>
            <w:r>
              <w:rPr>
                <w:rFonts w:ascii="仿宋" w:hAnsi="仿宋" w:eastAsia="仿宋" w:cs="仿宋"/>
                <w:spacing w:val="-1"/>
                <w:sz w:val="20"/>
                <w:szCs w:val="20"/>
                <w:lang w:eastAsia="zh-CN"/>
              </w:rPr>
              <w:t>角鲨烯（mg/kg）</w:t>
            </w:r>
            <w:r>
              <w:rPr>
                <w:rFonts w:hint="eastAsia" w:ascii="仿宋" w:hAnsi="仿宋" w:eastAsia="仿宋" w:cs="仿宋"/>
                <w:spacing w:val="-1"/>
                <w:sz w:val="20"/>
                <w:szCs w:val="20"/>
                <w:lang w:eastAsia="zh-CN"/>
              </w:rPr>
              <w:t>：</w:t>
            </w:r>
            <w:r>
              <w:rPr>
                <w:rFonts w:ascii="仿宋" w:hAnsi="仿宋" w:eastAsia="仿宋" w:cs="仿宋"/>
                <w:spacing w:val="-1"/>
                <w:sz w:val="20"/>
                <w:szCs w:val="20"/>
                <w:lang w:eastAsia="zh-CN"/>
              </w:rPr>
              <w:t>≥</w:t>
            </w:r>
            <w:r>
              <w:rPr>
                <w:rFonts w:hint="eastAsia" w:ascii="仿宋" w:hAnsi="仿宋" w:eastAsia="仿宋" w:cs="仿宋"/>
                <w:spacing w:val="-1"/>
                <w:sz w:val="20"/>
                <w:szCs w:val="20"/>
                <w:lang w:eastAsia="zh-CN"/>
              </w:rPr>
              <w:t>2</w:t>
            </w:r>
            <w:r>
              <w:rPr>
                <w:rFonts w:ascii="仿宋" w:hAnsi="仿宋" w:eastAsia="仿宋" w:cs="仿宋"/>
                <w:spacing w:val="-1"/>
                <w:sz w:val="20"/>
                <w:szCs w:val="20"/>
                <w:lang w:eastAsia="zh-CN"/>
              </w:rPr>
              <w:t>0</w:t>
            </w:r>
          </w:p>
        </w:tc>
        <w:tc>
          <w:tcPr>
            <w:tcW w:w="2029" w:type="dxa"/>
          </w:tcPr>
          <w:p w14:paraId="1AFAEDDF">
            <w:pPr>
              <w:rPr>
                <w:rFonts w:hint="eastAsia" w:ascii="仿宋" w:hAnsi="仿宋" w:eastAsia="仿宋" w:cs="仿宋"/>
                <w:spacing w:val="-1"/>
                <w:sz w:val="20"/>
                <w:szCs w:val="20"/>
                <w:lang w:eastAsia="zh-CN"/>
              </w:rPr>
            </w:pPr>
            <w:r>
              <w:rPr>
                <w:rFonts w:hint="eastAsia" w:ascii="仿宋" w:hAnsi="仿宋" w:eastAsia="仿宋" w:cs="仿宋"/>
                <w:lang w:eastAsia="zh-CN"/>
              </w:rPr>
              <w:t>角鲨烯是油茶籽油中</w:t>
            </w:r>
            <w:r>
              <w:rPr>
                <w:rFonts w:ascii="仿宋" w:hAnsi="仿宋" w:eastAsia="仿宋" w:cs="仿宋"/>
                <w:lang w:eastAsia="zh-CN"/>
              </w:rPr>
              <w:t>的</w:t>
            </w:r>
            <w:r>
              <w:rPr>
                <w:rFonts w:hint="eastAsia" w:ascii="仿宋" w:hAnsi="仿宋" w:eastAsia="仿宋" w:cs="仿宋"/>
                <w:lang w:eastAsia="zh-CN"/>
              </w:rPr>
              <w:t>主要特征成分，根据本品的特征成分含量特性制定本指标。</w:t>
            </w:r>
          </w:p>
        </w:tc>
        <w:tc>
          <w:tcPr>
            <w:tcW w:w="2269" w:type="dxa"/>
          </w:tcPr>
          <w:p w14:paraId="33097609">
            <w:pPr>
              <w:rPr>
                <w:rFonts w:hint="eastAsia" w:ascii="仿宋" w:hAnsi="仿宋" w:eastAsia="仿宋" w:cs="仿宋"/>
                <w:spacing w:val="-1"/>
                <w:sz w:val="20"/>
                <w:szCs w:val="20"/>
                <w:lang w:eastAsia="zh-CN"/>
              </w:rPr>
            </w:pPr>
            <w:r>
              <w:rPr>
                <w:rFonts w:hint="eastAsia" w:ascii="仿宋" w:hAnsi="仿宋" w:eastAsia="仿宋" w:cs="仿宋"/>
                <w:lang w:eastAsia="zh-CN"/>
              </w:rPr>
              <w:t>LS/T 6120-</w:t>
            </w:r>
            <w:r>
              <w:rPr>
                <w:rFonts w:hint="eastAsia"/>
                <w:lang w:eastAsia="zh-CN"/>
              </w:rPr>
              <w:t xml:space="preserve"> </w:t>
            </w:r>
            <w:r>
              <w:rPr>
                <w:rFonts w:hint="eastAsia" w:ascii="仿宋" w:hAnsi="仿宋" w:eastAsia="仿宋" w:cs="仿宋"/>
                <w:lang w:eastAsia="zh-CN"/>
              </w:rPr>
              <w:t>2017《粮油检验 植物油中角鲨烯的测定 气相色谱法》</w:t>
            </w:r>
          </w:p>
        </w:tc>
      </w:tr>
      <w:tr w14:paraId="52D9F0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7E6C8B0E">
            <w:pPr>
              <w:pStyle w:val="12"/>
              <w:spacing w:line="360" w:lineRule="auto"/>
              <w:jc w:val="both"/>
              <w:rPr>
                <w:rFonts w:hint="eastAsia"/>
                <w:spacing w:val="-1"/>
                <w:sz w:val="20"/>
                <w:szCs w:val="20"/>
              </w:rPr>
            </w:pPr>
            <w:r>
              <w:rPr>
                <w:rFonts w:hint="eastAsia"/>
                <w:spacing w:val="-1"/>
                <w:sz w:val="20"/>
                <w:szCs w:val="20"/>
              </w:rPr>
              <w:t>有害物质</w:t>
            </w:r>
          </w:p>
          <w:p w14:paraId="6530838E">
            <w:pPr>
              <w:pStyle w:val="12"/>
              <w:spacing w:line="360" w:lineRule="auto"/>
              <w:jc w:val="both"/>
              <w:rPr>
                <w:rFonts w:hint="eastAsia"/>
                <w:sz w:val="20"/>
                <w:szCs w:val="20"/>
                <w:lang w:eastAsia="zh-CN"/>
              </w:rPr>
            </w:pPr>
            <w:r>
              <w:rPr>
                <w:rFonts w:hint="eastAsia"/>
                <w:spacing w:val="-1"/>
                <w:sz w:val="20"/>
                <w:szCs w:val="20"/>
              </w:rPr>
              <w:t>限制要求</w:t>
            </w:r>
          </w:p>
        </w:tc>
        <w:tc>
          <w:tcPr>
            <w:tcW w:w="1944" w:type="pct"/>
            <w:vAlign w:val="center"/>
          </w:tcPr>
          <w:p w14:paraId="3B60AADE">
            <w:pPr>
              <w:pStyle w:val="12"/>
              <w:spacing w:line="360" w:lineRule="auto"/>
              <w:jc w:val="both"/>
              <w:rPr>
                <w:rFonts w:hint="eastAsia"/>
                <w:spacing w:val="-1"/>
                <w:sz w:val="20"/>
                <w:szCs w:val="20"/>
              </w:rPr>
            </w:pPr>
            <w:r>
              <w:rPr>
                <w:rFonts w:hint="eastAsia"/>
                <w:spacing w:val="-1"/>
                <w:sz w:val="20"/>
                <w:szCs w:val="20"/>
              </w:rPr>
              <w:t>铅（Pb）/(mg/kg)：≤10</w:t>
            </w:r>
          </w:p>
        </w:tc>
        <w:tc>
          <w:tcPr>
            <w:tcW w:w="1203" w:type="pct"/>
            <w:vAlign w:val="center"/>
          </w:tcPr>
          <w:p w14:paraId="2D64C7BC">
            <w:pPr>
              <w:pStyle w:val="12"/>
              <w:spacing w:line="360" w:lineRule="auto"/>
              <w:jc w:val="both"/>
              <w:rPr>
                <w:rFonts w:hint="eastAsia"/>
                <w:spacing w:val="-1"/>
                <w:sz w:val="20"/>
                <w:szCs w:val="20"/>
                <w:lang w:eastAsia="zh-CN"/>
              </w:rPr>
            </w:pPr>
            <w:r>
              <w:rPr>
                <w:rFonts w:hint="eastAsia"/>
                <w:spacing w:val="-1"/>
                <w:sz w:val="20"/>
                <w:szCs w:val="20"/>
              </w:rPr>
              <w:t>铅（Pb）/(mg/kg)≤25ppm</w:t>
            </w:r>
          </w:p>
        </w:tc>
        <w:tc>
          <w:tcPr>
            <w:tcW w:w="1345" w:type="pct"/>
            <w:vAlign w:val="center"/>
          </w:tcPr>
          <w:p w14:paraId="394F7BE8">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464199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3394B92D">
            <w:pPr>
              <w:jc w:val="both"/>
              <w:rPr>
                <w:rFonts w:hint="eastAsia" w:ascii="仿宋" w:hAnsi="仿宋" w:eastAsia="仿宋" w:cs="仿宋"/>
                <w:sz w:val="20"/>
                <w:szCs w:val="20"/>
                <w:lang w:eastAsia="zh-CN"/>
              </w:rPr>
            </w:pPr>
          </w:p>
        </w:tc>
        <w:tc>
          <w:tcPr>
            <w:tcW w:w="1944" w:type="pct"/>
            <w:vAlign w:val="center"/>
          </w:tcPr>
          <w:p w14:paraId="589481B3">
            <w:pPr>
              <w:pStyle w:val="12"/>
              <w:spacing w:line="360" w:lineRule="auto"/>
              <w:jc w:val="both"/>
              <w:rPr>
                <w:rFonts w:hint="eastAsia"/>
                <w:spacing w:val="-1"/>
                <w:sz w:val="20"/>
                <w:szCs w:val="20"/>
              </w:rPr>
            </w:pPr>
            <w:r>
              <w:rPr>
                <w:rFonts w:hint="eastAsia"/>
                <w:spacing w:val="-1"/>
                <w:sz w:val="20"/>
                <w:szCs w:val="20"/>
              </w:rPr>
              <w:t>汞（As）/(mg/kg)：≤1</w:t>
            </w:r>
          </w:p>
        </w:tc>
        <w:tc>
          <w:tcPr>
            <w:tcW w:w="1203" w:type="pct"/>
            <w:vAlign w:val="center"/>
          </w:tcPr>
          <w:p w14:paraId="17644E42">
            <w:pPr>
              <w:pStyle w:val="12"/>
              <w:spacing w:line="360" w:lineRule="auto"/>
              <w:jc w:val="both"/>
              <w:rPr>
                <w:rFonts w:hint="eastAsia"/>
                <w:spacing w:val="-1"/>
                <w:sz w:val="20"/>
                <w:szCs w:val="20"/>
                <w:lang w:eastAsia="zh-CN"/>
              </w:rPr>
            </w:pPr>
            <w:r>
              <w:rPr>
                <w:rFonts w:hint="eastAsia"/>
                <w:spacing w:val="-1"/>
                <w:sz w:val="20"/>
                <w:szCs w:val="20"/>
              </w:rPr>
              <w:t>汞（As）/(mg/kg)≤1ppm</w:t>
            </w:r>
          </w:p>
        </w:tc>
        <w:tc>
          <w:tcPr>
            <w:tcW w:w="1345" w:type="pct"/>
            <w:vAlign w:val="center"/>
          </w:tcPr>
          <w:p w14:paraId="622C9F7E">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221302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5F673E70">
            <w:pPr>
              <w:jc w:val="both"/>
              <w:rPr>
                <w:rFonts w:hint="eastAsia" w:ascii="仿宋" w:hAnsi="仿宋" w:eastAsia="仿宋" w:cs="仿宋"/>
                <w:sz w:val="20"/>
                <w:szCs w:val="20"/>
                <w:lang w:eastAsia="zh-CN"/>
              </w:rPr>
            </w:pPr>
          </w:p>
        </w:tc>
        <w:tc>
          <w:tcPr>
            <w:tcW w:w="1944" w:type="pct"/>
            <w:vAlign w:val="center"/>
          </w:tcPr>
          <w:p w14:paraId="20EA8575">
            <w:pPr>
              <w:pStyle w:val="12"/>
              <w:spacing w:line="360" w:lineRule="auto"/>
              <w:jc w:val="both"/>
              <w:rPr>
                <w:rFonts w:hint="eastAsia"/>
                <w:spacing w:val="-1"/>
                <w:sz w:val="20"/>
                <w:szCs w:val="20"/>
              </w:rPr>
            </w:pPr>
            <w:r>
              <w:rPr>
                <w:rFonts w:hint="eastAsia"/>
                <w:spacing w:val="-1"/>
                <w:sz w:val="20"/>
                <w:szCs w:val="20"/>
              </w:rPr>
              <w:t>砷（Cd）/(mg/kg)：≤2</w:t>
            </w:r>
          </w:p>
        </w:tc>
        <w:tc>
          <w:tcPr>
            <w:tcW w:w="1203" w:type="pct"/>
            <w:vAlign w:val="center"/>
          </w:tcPr>
          <w:p w14:paraId="3A960C16">
            <w:pPr>
              <w:pStyle w:val="12"/>
              <w:spacing w:line="360" w:lineRule="auto"/>
              <w:jc w:val="both"/>
              <w:rPr>
                <w:rFonts w:hint="eastAsia"/>
                <w:spacing w:val="-1"/>
                <w:sz w:val="20"/>
                <w:szCs w:val="20"/>
                <w:lang w:eastAsia="zh-CN"/>
              </w:rPr>
            </w:pPr>
            <w:r>
              <w:rPr>
                <w:rFonts w:hint="eastAsia"/>
                <w:spacing w:val="-1"/>
                <w:sz w:val="20"/>
                <w:szCs w:val="20"/>
              </w:rPr>
              <w:t>砷（Cd）/(mg/kg)≤2ppm</w:t>
            </w:r>
          </w:p>
        </w:tc>
        <w:tc>
          <w:tcPr>
            <w:tcW w:w="1345" w:type="pct"/>
            <w:vAlign w:val="center"/>
          </w:tcPr>
          <w:p w14:paraId="4C9EB65E">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36087E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32C890A3">
            <w:pPr>
              <w:jc w:val="both"/>
              <w:rPr>
                <w:rFonts w:hint="eastAsia" w:ascii="仿宋" w:hAnsi="仿宋" w:eastAsia="仿宋" w:cs="仿宋"/>
                <w:sz w:val="20"/>
                <w:szCs w:val="20"/>
                <w:lang w:eastAsia="zh-CN"/>
              </w:rPr>
            </w:pPr>
          </w:p>
        </w:tc>
        <w:tc>
          <w:tcPr>
            <w:tcW w:w="1944" w:type="pct"/>
            <w:vAlign w:val="center"/>
          </w:tcPr>
          <w:p w14:paraId="67395463">
            <w:pPr>
              <w:pStyle w:val="12"/>
              <w:spacing w:line="360" w:lineRule="auto"/>
              <w:jc w:val="both"/>
              <w:rPr>
                <w:rFonts w:hint="eastAsia"/>
                <w:spacing w:val="-1"/>
                <w:sz w:val="20"/>
                <w:szCs w:val="20"/>
              </w:rPr>
            </w:pPr>
            <w:r>
              <w:rPr>
                <w:rFonts w:hint="eastAsia"/>
                <w:spacing w:val="-1"/>
                <w:sz w:val="20"/>
                <w:szCs w:val="20"/>
              </w:rPr>
              <w:t>镉（Hg）/(mg/kg)：≤5</w:t>
            </w:r>
          </w:p>
        </w:tc>
        <w:tc>
          <w:tcPr>
            <w:tcW w:w="1203" w:type="pct"/>
            <w:vAlign w:val="center"/>
          </w:tcPr>
          <w:p w14:paraId="2A3EE924">
            <w:pPr>
              <w:pStyle w:val="12"/>
              <w:spacing w:line="360" w:lineRule="auto"/>
              <w:jc w:val="both"/>
              <w:rPr>
                <w:rFonts w:hint="eastAsia"/>
                <w:spacing w:val="-1"/>
                <w:sz w:val="20"/>
                <w:szCs w:val="20"/>
                <w:lang w:eastAsia="zh-CN"/>
              </w:rPr>
            </w:pPr>
            <w:r>
              <w:rPr>
                <w:rFonts w:hint="eastAsia"/>
                <w:spacing w:val="-1"/>
                <w:sz w:val="20"/>
                <w:szCs w:val="20"/>
              </w:rPr>
              <w:t>镉（Hg）/(mg/kg)≤5ppm</w:t>
            </w:r>
          </w:p>
        </w:tc>
        <w:tc>
          <w:tcPr>
            <w:tcW w:w="1345" w:type="pct"/>
            <w:vAlign w:val="center"/>
          </w:tcPr>
          <w:p w14:paraId="4DA784F1">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737AC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357C749">
            <w:pPr>
              <w:jc w:val="both"/>
              <w:rPr>
                <w:rFonts w:hint="eastAsia" w:ascii="仿宋" w:hAnsi="仿宋" w:eastAsia="仿宋" w:cs="仿宋"/>
                <w:sz w:val="20"/>
                <w:szCs w:val="20"/>
                <w:lang w:eastAsia="zh-CN"/>
              </w:rPr>
            </w:pPr>
          </w:p>
        </w:tc>
        <w:tc>
          <w:tcPr>
            <w:tcW w:w="1944" w:type="pct"/>
            <w:vAlign w:val="center"/>
          </w:tcPr>
          <w:p w14:paraId="4903CCA3">
            <w:pPr>
              <w:pStyle w:val="12"/>
              <w:spacing w:line="360" w:lineRule="auto"/>
              <w:jc w:val="both"/>
              <w:rPr>
                <w:rFonts w:hint="eastAsia"/>
                <w:spacing w:val="-1"/>
                <w:sz w:val="20"/>
                <w:szCs w:val="20"/>
                <w:lang w:eastAsia="zh-CN"/>
              </w:rPr>
            </w:pPr>
            <w:r>
              <w:rPr>
                <w:rFonts w:hint="eastAsia"/>
                <w:spacing w:val="-1"/>
                <w:sz w:val="20"/>
                <w:szCs w:val="20"/>
                <w:lang w:eastAsia="zh-CN"/>
              </w:rPr>
              <w:t>农药残留量（含植物提取物类化妆品中禁用55种）（mg/kg）</w:t>
            </w:r>
          </w:p>
        </w:tc>
        <w:tc>
          <w:tcPr>
            <w:tcW w:w="1203" w:type="pct"/>
            <w:vAlign w:val="center"/>
          </w:tcPr>
          <w:p w14:paraId="4B6EE03A">
            <w:pPr>
              <w:pStyle w:val="12"/>
              <w:spacing w:line="360" w:lineRule="auto"/>
              <w:jc w:val="both"/>
              <w:rPr>
                <w:rFonts w:hint="eastAsia"/>
                <w:spacing w:val="-1"/>
                <w:sz w:val="20"/>
                <w:szCs w:val="20"/>
                <w:lang w:eastAsia="zh-CN"/>
              </w:rPr>
            </w:pPr>
            <w:r>
              <w:rPr>
                <w:rFonts w:hint="eastAsia"/>
                <w:spacing w:val="-1"/>
                <w:sz w:val="20"/>
                <w:szCs w:val="20"/>
                <w:lang w:eastAsia="zh-CN"/>
              </w:rPr>
              <w:t>农药残留是对提取物原料有害物质的规定，根据本品的有害物质限制制定本指标</w:t>
            </w:r>
          </w:p>
        </w:tc>
        <w:tc>
          <w:tcPr>
            <w:tcW w:w="1345" w:type="pct"/>
            <w:vAlign w:val="center"/>
          </w:tcPr>
          <w:p w14:paraId="7C30E3F0">
            <w:pPr>
              <w:pStyle w:val="12"/>
              <w:spacing w:line="360" w:lineRule="auto"/>
              <w:jc w:val="both"/>
              <w:rPr>
                <w:rFonts w:hint="eastAsia"/>
                <w:spacing w:val="-1"/>
                <w:sz w:val="20"/>
                <w:szCs w:val="20"/>
                <w:lang w:eastAsia="zh-CN"/>
              </w:rPr>
            </w:pPr>
            <w:r>
              <w:rPr>
                <w:rFonts w:hint="eastAsia"/>
                <w:spacing w:val="-1"/>
                <w:sz w:val="20"/>
                <w:szCs w:val="20"/>
                <w:lang w:eastAsia="zh-CN"/>
              </w:rPr>
              <w:t>GB/T39665-2020《含植物提取物类化妆品中55种禁用农药残留量的测定》</w:t>
            </w:r>
          </w:p>
        </w:tc>
      </w:tr>
      <w:tr w14:paraId="06A4CA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restart"/>
            <w:vAlign w:val="center"/>
          </w:tcPr>
          <w:p w14:paraId="5523A547">
            <w:pPr>
              <w:pStyle w:val="12"/>
              <w:spacing w:line="360" w:lineRule="auto"/>
              <w:jc w:val="both"/>
              <w:rPr>
                <w:rFonts w:hint="eastAsia"/>
                <w:spacing w:val="-1"/>
                <w:sz w:val="20"/>
                <w:szCs w:val="20"/>
              </w:rPr>
            </w:pPr>
            <w:r>
              <w:rPr>
                <w:rFonts w:hint="eastAsia"/>
                <w:spacing w:val="-1"/>
                <w:sz w:val="20"/>
                <w:szCs w:val="20"/>
              </w:rPr>
              <w:t>微生物限</w:t>
            </w:r>
          </w:p>
          <w:p w14:paraId="4FA5F6B4">
            <w:pPr>
              <w:pStyle w:val="12"/>
              <w:spacing w:line="360" w:lineRule="auto"/>
              <w:jc w:val="both"/>
              <w:rPr>
                <w:rFonts w:hint="eastAsia"/>
                <w:sz w:val="20"/>
                <w:szCs w:val="20"/>
                <w:lang w:eastAsia="zh-CN"/>
              </w:rPr>
            </w:pPr>
            <w:r>
              <w:rPr>
                <w:rFonts w:hint="eastAsia"/>
                <w:spacing w:val="-1"/>
                <w:sz w:val="20"/>
                <w:szCs w:val="20"/>
              </w:rPr>
              <w:t>值要求</w:t>
            </w:r>
          </w:p>
        </w:tc>
        <w:tc>
          <w:tcPr>
            <w:tcW w:w="1944" w:type="pct"/>
            <w:vAlign w:val="center"/>
          </w:tcPr>
          <w:p w14:paraId="7C6537E0">
            <w:pPr>
              <w:pStyle w:val="12"/>
              <w:spacing w:line="360" w:lineRule="auto"/>
              <w:jc w:val="both"/>
              <w:rPr>
                <w:rFonts w:hint="eastAsia"/>
                <w:spacing w:val="-1"/>
                <w:sz w:val="20"/>
                <w:szCs w:val="20"/>
                <w:lang w:eastAsia="zh-CN"/>
              </w:rPr>
            </w:pPr>
            <w:r>
              <w:rPr>
                <w:rFonts w:hint="eastAsia"/>
                <w:spacing w:val="-1"/>
                <w:sz w:val="20"/>
                <w:szCs w:val="20"/>
                <w:lang w:eastAsia="zh-CN"/>
              </w:rPr>
              <w:t>菌落总数/（CFU/g）：≤1000</w:t>
            </w:r>
          </w:p>
        </w:tc>
        <w:tc>
          <w:tcPr>
            <w:tcW w:w="1203" w:type="pct"/>
            <w:vAlign w:val="center"/>
          </w:tcPr>
          <w:p w14:paraId="228A2E55">
            <w:pPr>
              <w:pStyle w:val="12"/>
              <w:spacing w:line="360" w:lineRule="auto"/>
              <w:jc w:val="both"/>
              <w:rPr>
                <w:rFonts w:hint="eastAsia"/>
                <w:spacing w:val="-1"/>
                <w:sz w:val="20"/>
                <w:szCs w:val="20"/>
                <w:lang w:eastAsia="zh-CN"/>
              </w:rPr>
            </w:pPr>
            <w:r>
              <w:rPr>
                <w:rFonts w:hint="eastAsia"/>
                <w:spacing w:val="-1"/>
                <w:sz w:val="20"/>
                <w:szCs w:val="20"/>
                <w:lang w:eastAsia="zh-CN"/>
              </w:rPr>
              <w:t>菌落总数/（CFU/g）≤1000</w:t>
            </w:r>
          </w:p>
        </w:tc>
        <w:tc>
          <w:tcPr>
            <w:tcW w:w="1345" w:type="pct"/>
            <w:vAlign w:val="center"/>
          </w:tcPr>
          <w:p w14:paraId="5270FCB4">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159649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68C77F27">
            <w:pPr>
              <w:jc w:val="both"/>
              <w:rPr>
                <w:rFonts w:hint="eastAsia" w:ascii="仿宋" w:hAnsi="仿宋" w:eastAsia="仿宋" w:cs="仿宋"/>
                <w:sz w:val="20"/>
                <w:szCs w:val="20"/>
                <w:lang w:eastAsia="zh-CN"/>
              </w:rPr>
            </w:pPr>
          </w:p>
        </w:tc>
        <w:tc>
          <w:tcPr>
            <w:tcW w:w="1944" w:type="pct"/>
            <w:vAlign w:val="center"/>
          </w:tcPr>
          <w:p w14:paraId="291B76F7">
            <w:pPr>
              <w:pStyle w:val="12"/>
              <w:spacing w:line="360" w:lineRule="auto"/>
              <w:jc w:val="both"/>
              <w:rPr>
                <w:rFonts w:hint="eastAsia"/>
                <w:spacing w:val="-1"/>
                <w:sz w:val="20"/>
                <w:szCs w:val="20"/>
                <w:lang w:eastAsia="zh-CN"/>
              </w:rPr>
            </w:pPr>
            <w:r>
              <w:rPr>
                <w:rFonts w:hint="eastAsia"/>
                <w:spacing w:val="-1"/>
                <w:sz w:val="20"/>
                <w:szCs w:val="20"/>
                <w:lang w:eastAsia="zh-CN"/>
              </w:rPr>
              <w:t>霉菌和酵母菌总数/（CFU/g）：≤100</w:t>
            </w:r>
          </w:p>
        </w:tc>
        <w:tc>
          <w:tcPr>
            <w:tcW w:w="1203" w:type="pct"/>
            <w:vAlign w:val="center"/>
          </w:tcPr>
          <w:p w14:paraId="640568E4">
            <w:pPr>
              <w:pStyle w:val="12"/>
              <w:spacing w:line="360" w:lineRule="auto"/>
              <w:jc w:val="both"/>
              <w:rPr>
                <w:rFonts w:hint="eastAsia"/>
                <w:spacing w:val="-1"/>
                <w:sz w:val="20"/>
                <w:szCs w:val="20"/>
                <w:lang w:eastAsia="zh-CN"/>
              </w:rPr>
            </w:pPr>
            <w:r>
              <w:rPr>
                <w:rFonts w:hint="eastAsia"/>
                <w:spacing w:val="-1"/>
                <w:sz w:val="20"/>
                <w:szCs w:val="20"/>
                <w:lang w:eastAsia="zh-CN"/>
              </w:rPr>
              <w:t>霉菌和酵母菌总数/（CFU/g）≤100</w:t>
            </w:r>
          </w:p>
        </w:tc>
        <w:tc>
          <w:tcPr>
            <w:tcW w:w="1345" w:type="pct"/>
            <w:vAlign w:val="center"/>
          </w:tcPr>
          <w:p w14:paraId="6986892C">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19AF16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46CB3C71">
            <w:pPr>
              <w:jc w:val="both"/>
              <w:rPr>
                <w:rFonts w:hint="eastAsia" w:ascii="仿宋" w:hAnsi="仿宋" w:eastAsia="仿宋" w:cs="仿宋"/>
                <w:sz w:val="20"/>
                <w:szCs w:val="20"/>
                <w:lang w:eastAsia="zh-CN"/>
              </w:rPr>
            </w:pPr>
          </w:p>
        </w:tc>
        <w:tc>
          <w:tcPr>
            <w:tcW w:w="1944" w:type="pct"/>
            <w:vAlign w:val="center"/>
          </w:tcPr>
          <w:p w14:paraId="6EA3E654">
            <w:pPr>
              <w:pStyle w:val="12"/>
              <w:spacing w:line="360" w:lineRule="auto"/>
              <w:jc w:val="both"/>
              <w:rPr>
                <w:rFonts w:hint="eastAsia"/>
                <w:spacing w:val="-1"/>
                <w:sz w:val="20"/>
                <w:szCs w:val="20"/>
                <w:lang w:eastAsia="zh-CN"/>
              </w:rPr>
            </w:pPr>
            <w:r>
              <w:rPr>
                <w:rFonts w:hint="eastAsia"/>
                <w:spacing w:val="-1"/>
                <w:sz w:val="20"/>
                <w:szCs w:val="20"/>
                <w:lang w:eastAsia="zh-CN"/>
              </w:rPr>
              <w:t>金黄色葡萄球菌/g：不得检出</w:t>
            </w:r>
          </w:p>
        </w:tc>
        <w:tc>
          <w:tcPr>
            <w:tcW w:w="1203" w:type="pct"/>
            <w:vAlign w:val="center"/>
          </w:tcPr>
          <w:p w14:paraId="2E8E0158">
            <w:pPr>
              <w:pStyle w:val="12"/>
              <w:spacing w:line="360" w:lineRule="auto"/>
              <w:jc w:val="both"/>
              <w:rPr>
                <w:rFonts w:hint="eastAsia"/>
                <w:spacing w:val="-1"/>
                <w:sz w:val="20"/>
                <w:szCs w:val="20"/>
                <w:lang w:eastAsia="zh-CN"/>
              </w:rPr>
            </w:pPr>
            <w:r>
              <w:rPr>
                <w:rFonts w:hint="eastAsia"/>
                <w:spacing w:val="-1"/>
                <w:sz w:val="20"/>
                <w:szCs w:val="20"/>
              </w:rPr>
              <w:t>不得检出</w:t>
            </w:r>
          </w:p>
        </w:tc>
        <w:tc>
          <w:tcPr>
            <w:tcW w:w="1345" w:type="pct"/>
            <w:vAlign w:val="center"/>
          </w:tcPr>
          <w:p w14:paraId="5251D8E6">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0B301D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D955F61">
            <w:pPr>
              <w:jc w:val="both"/>
              <w:rPr>
                <w:rFonts w:hint="eastAsia" w:ascii="仿宋" w:hAnsi="仿宋" w:eastAsia="仿宋" w:cs="仿宋"/>
                <w:sz w:val="20"/>
                <w:szCs w:val="20"/>
                <w:lang w:eastAsia="zh-CN"/>
              </w:rPr>
            </w:pPr>
          </w:p>
        </w:tc>
        <w:tc>
          <w:tcPr>
            <w:tcW w:w="1944" w:type="pct"/>
            <w:vAlign w:val="center"/>
          </w:tcPr>
          <w:p w14:paraId="1FB829E0">
            <w:pPr>
              <w:pStyle w:val="12"/>
              <w:spacing w:line="360" w:lineRule="auto"/>
              <w:jc w:val="both"/>
              <w:rPr>
                <w:rFonts w:hint="eastAsia"/>
                <w:spacing w:val="-1"/>
                <w:sz w:val="20"/>
                <w:szCs w:val="20"/>
                <w:lang w:eastAsia="zh-CN"/>
              </w:rPr>
            </w:pPr>
            <w:r>
              <w:rPr>
                <w:rFonts w:hint="eastAsia"/>
                <w:spacing w:val="-1"/>
                <w:sz w:val="20"/>
                <w:szCs w:val="20"/>
                <w:lang w:eastAsia="zh-CN"/>
              </w:rPr>
              <w:t>耐热大肠菌群/g：不得检出</w:t>
            </w:r>
          </w:p>
        </w:tc>
        <w:tc>
          <w:tcPr>
            <w:tcW w:w="1203" w:type="pct"/>
            <w:vAlign w:val="center"/>
          </w:tcPr>
          <w:p w14:paraId="637861E8">
            <w:pPr>
              <w:pStyle w:val="12"/>
              <w:spacing w:line="360" w:lineRule="auto"/>
              <w:jc w:val="both"/>
              <w:rPr>
                <w:rFonts w:hint="eastAsia"/>
                <w:spacing w:val="-1"/>
                <w:sz w:val="20"/>
                <w:szCs w:val="20"/>
                <w:lang w:eastAsia="zh-CN"/>
              </w:rPr>
            </w:pPr>
            <w:r>
              <w:rPr>
                <w:rFonts w:hint="eastAsia"/>
                <w:spacing w:val="-1"/>
                <w:sz w:val="20"/>
                <w:szCs w:val="20"/>
              </w:rPr>
              <w:t>不得检出</w:t>
            </w:r>
          </w:p>
        </w:tc>
        <w:tc>
          <w:tcPr>
            <w:tcW w:w="1345" w:type="pct"/>
            <w:vAlign w:val="center"/>
          </w:tcPr>
          <w:p w14:paraId="720A53D9">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r w14:paraId="32AB41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506" w:type="pct"/>
            <w:vMerge w:val="continue"/>
            <w:vAlign w:val="center"/>
          </w:tcPr>
          <w:p w14:paraId="07048EDE">
            <w:pPr>
              <w:jc w:val="both"/>
              <w:rPr>
                <w:rFonts w:hint="eastAsia" w:ascii="仿宋" w:hAnsi="仿宋" w:eastAsia="仿宋" w:cs="仿宋"/>
                <w:sz w:val="20"/>
                <w:szCs w:val="20"/>
                <w:lang w:eastAsia="zh-CN"/>
              </w:rPr>
            </w:pPr>
          </w:p>
        </w:tc>
        <w:tc>
          <w:tcPr>
            <w:tcW w:w="1944" w:type="pct"/>
            <w:vAlign w:val="center"/>
          </w:tcPr>
          <w:p w14:paraId="00C7AF57">
            <w:pPr>
              <w:pStyle w:val="12"/>
              <w:spacing w:line="360" w:lineRule="auto"/>
              <w:jc w:val="both"/>
              <w:rPr>
                <w:rFonts w:hint="eastAsia"/>
                <w:spacing w:val="-1"/>
                <w:sz w:val="20"/>
                <w:szCs w:val="20"/>
                <w:lang w:eastAsia="zh-CN"/>
              </w:rPr>
            </w:pPr>
            <w:r>
              <w:rPr>
                <w:rFonts w:hint="eastAsia"/>
                <w:spacing w:val="-1"/>
                <w:sz w:val="20"/>
                <w:szCs w:val="20"/>
                <w:lang w:eastAsia="zh-CN"/>
              </w:rPr>
              <w:t>铜绿假单胞菌/g：不得检出</w:t>
            </w:r>
          </w:p>
        </w:tc>
        <w:tc>
          <w:tcPr>
            <w:tcW w:w="1203" w:type="pct"/>
            <w:vAlign w:val="center"/>
          </w:tcPr>
          <w:p w14:paraId="318085C1">
            <w:pPr>
              <w:pStyle w:val="12"/>
              <w:spacing w:line="360" w:lineRule="auto"/>
              <w:jc w:val="both"/>
              <w:rPr>
                <w:rFonts w:hint="eastAsia"/>
                <w:spacing w:val="-1"/>
                <w:sz w:val="20"/>
                <w:szCs w:val="20"/>
                <w:lang w:eastAsia="zh-CN"/>
              </w:rPr>
            </w:pPr>
            <w:r>
              <w:rPr>
                <w:rFonts w:hint="eastAsia"/>
                <w:spacing w:val="-1"/>
                <w:sz w:val="20"/>
                <w:szCs w:val="20"/>
              </w:rPr>
              <w:t>不得检出</w:t>
            </w:r>
          </w:p>
        </w:tc>
        <w:tc>
          <w:tcPr>
            <w:tcW w:w="1345" w:type="pct"/>
            <w:vAlign w:val="center"/>
          </w:tcPr>
          <w:p w14:paraId="65D5DCAF">
            <w:pPr>
              <w:pStyle w:val="12"/>
              <w:spacing w:line="360" w:lineRule="auto"/>
              <w:jc w:val="both"/>
              <w:rPr>
                <w:rFonts w:hint="eastAsia"/>
                <w:spacing w:val="-1"/>
                <w:sz w:val="20"/>
                <w:szCs w:val="20"/>
                <w:lang w:eastAsia="zh-CN"/>
              </w:rPr>
            </w:pPr>
            <w:r>
              <w:rPr>
                <w:rFonts w:hint="eastAsia"/>
                <w:spacing w:val="-1"/>
                <w:sz w:val="20"/>
                <w:szCs w:val="20"/>
                <w:lang w:eastAsia="zh-CN"/>
              </w:rPr>
              <w:t>化妆品安全技术规范2015年版</w:t>
            </w:r>
          </w:p>
        </w:tc>
      </w:tr>
    </w:tbl>
    <w:p w14:paraId="1CE59690">
      <w:pPr>
        <w:rPr>
          <w:lang w:eastAsia="zh-CN"/>
        </w:rPr>
      </w:pPr>
    </w:p>
    <w:p w14:paraId="21D1A18F">
      <w:pPr>
        <w:rPr>
          <w:lang w:eastAsia="zh-CN"/>
        </w:rPr>
        <w:sectPr>
          <w:type w:val="continuous"/>
          <w:pgSz w:w="11907" w:h="16839"/>
          <w:pgMar w:top="1440" w:right="1800" w:bottom="1440" w:left="1800" w:header="0" w:footer="0" w:gutter="0"/>
          <w:cols w:space="720" w:num="1"/>
          <w:docGrid w:linePitch="286" w:charSpace="0"/>
        </w:sectPr>
      </w:pPr>
    </w:p>
    <w:p w14:paraId="17D2A4B4">
      <w:pPr>
        <w:spacing w:line="91" w:lineRule="auto"/>
        <w:rPr>
          <w:sz w:val="2"/>
          <w:lang w:eastAsia="zh-CN"/>
        </w:rPr>
      </w:pPr>
    </w:p>
    <w:p w14:paraId="62691248">
      <w:pPr>
        <w:rPr>
          <w:lang w:eastAsia="zh-CN"/>
        </w:rPr>
      </w:pPr>
    </w:p>
    <w:p w14:paraId="2B5D0457">
      <w:pPr>
        <w:spacing w:line="360" w:lineRule="auto"/>
        <w:outlineLvl w:val="2"/>
        <w:rPr>
          <w:rFonts w:hint="eastAsia" w:asciiTheme="minorEastAsia" w:hAnsiTheme="minorEastAsia" w:eastAsiaTheme="minorEastAsia" w:cstheme="minorEastAsia"/>
          <w:sz w:val="22"/>
          <w:szCs w:val="22"/>
          <w:lang w:eastAsia="zh-CN"/>
        </w:rPr>
      </w:pPr>
      <w:r>
        <w:rPr>
          <w:rFonts w:hint="eastAsia" w:asciiTheme="minorEastAsia" w:hAnsiTheme="minorEastAsia" w:eastAsiaTheme="minorEastAsia" w:cstheme="minorEastAsia"/>
          <w:b/>
          <w:bCs/>
          <w:spacing w:val="-3"/>
          <w:sz w:val="22"/>
          <w:szCs w:val="22"/>
          <w:lang w:eastAsia="zh-CN"/>
        </w:rPr>
        <w:t>2、主要试验（或验证）情况分析</w:t>
      </w:r>
    </w:p>
    <w:p w14:paraId="30859C95">
      <w:pPr>
        <w:pStyle w:val="3"/>
        <w:spacing w:line="360" w:lineRule="auto"/>
        <w:jc w:val="both"/>
        <w:rPr>
          <w:rFonts w:hint="eastAsia"/>
          <w:spacing w:val="-1"/>
          <w:lang w:eastAsia="zh-CN"/>
        </w:rPr>
      </w:pPr>
      <w:r>
        <w:rPr>
          <w:spacing w:val="-1"/>
          <w:lang w:eastAsia="zh-CN"/>
        </w:rPr>
        <w:t>为了了解油茶籽油的质量情况，为技术指标的确定提供依据，起草工作组将湖南大三湘茶油股份有限公司、湖南秦湘九州生物科技有限公司和湖南金昌生物科技有限公司的多批次产品进行检测，再另外将一批次原料提交给湖南山水检测有限公司进行第三方检测，各项指标检测数据见附件</w:t>
      </w:r>
      <w:r>
        <w:rPr>
          <w:rFonts w:hint="eastAsia"/>
          <w:spacing w:val="-1"/>
          <w:lang w:eastAsia="zh-CN"/>
        </w:rPr>
        <w:t>。</w:t>
      </w:r>
    </w:p>
    <w:p w14:paraId="3A4EE73B">
      <w:pPr>
        <w:pStyle w:val="3"/>
        <w:spacing w:line="360" w:lineRule="auto"/>
        <w:jc w:val="both"/>
        <w:rPr>
          <w:rFonts w:hint="eastAsia"/>
          <w:spacing w:val="-1"/>
          <w:lang w:eastAsia="zh-CN"/>
        </w:rPr>
        <w:sectPr>
          <w:type w:val="continuous"/>
          <w:pgSz w:w="11907" w:h="16839"/>
          <w:pgMar w:top="1440" w:right="1800" w:bottom="1440" w:left="1800" w:header="0" w:footer="0" w:gutter="0"/>
          <w:cols w:space="720" w:num="1"/>
          <w:docGrid w:linePitch="286" w:charSpace="0"/>
        </w:sectPr>
      </w:pPr>
    </w:p>
    <w:p w14:paraId="65B29D33">
      <w:pPr>
        <w:pStyle w:val="3"/>
        <w:spacing w:line="360" w:lineRule="auto"/>
        <w:ind w:firstLine="416" w:firstLineChars="200"/>
        <w:jc w:val="both"/>
        <w:rPr>
          <w:rFonts w:hint="eastAsia"/>
          <w:spacing w:val="-1"/>
          <w:lang w:eastAsia="zh-CN"/>
        </w:rPr>
      </w:pPr>
      <w:r>
        <w:rPr>
          <w:spacing w:val="-1"/>
          <w:lang w:eastAsia="zh-CN"/>
        </w:rPr>
        <w:t>关于第三方检测报告中，部分指标检测方法只选用了标准文本内要求检测方法中的其中一法情况说明：</w:t>
      </w:r>
    </w:p>
    <w:p w14:paraId="107C7D39">
      <w:pPr>
        <w:pStyle w:val="3"/>
        <w:spacing w:line="360" w:lineRule="auto"/>
        <w:ind w:firstLine="416" w:firstLineChars="200"/>
        <w:jc w:val="both"/>
        <w:rPr>
          <w:rFonts w:hint="eastAsia"/>
          <w:spacing w:val="-1"/>
          <w:lang w:eastAsia="zh-CN"/>
        </w:rPr>
      </w:pPr>
      <w:r>
        <w:rPr>
          <w:spacing w:val="-1"/>
          <w:lang w:eastAsia="zh-CN"/>
        </w:rPr>
        <w:t>1、水分指标检测：1、水分检测标准是《食品安全国家标准动植物油脂水分及挥发物的测定》GB5009.236-2016，该标准中有第一法和第二法，检测时会从两个方法中选其中一个，该标准在扩项评审中有对两个方法都做了方法验证报告，在都适用的情况下两个方法的检测结果比较接近，在允许的误差范围内。</w:t>
      </w:r>
    </w:p>
    <w:p w14:paraId="561AE57D">
      <w:pPr>
        <w:spacing w:line="3283" w:lineRule="exact"/>
        <w:ind w:firstLine="434"/>
      </w:pPr>
      <w:r>
        <w:rPr>
          <w:position w:val="-65"/>
        </w:rPr>
        <w:drawing>
          <wp:inline distT="0" distB="0" distL="0" distR="0">
            <wp:extent cx="4841875" cy="2084705"/>
            <wp:effectExtent l="0" t="0" r="15875" b="10795"/>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1"/>
                    <a:stretch>
                      <a:fillRect/>
                    </a:stretch>
                  </pic:blipFill>
                  <pic:spPr>
                    <a:xfrm>
                      <a:off x="0" y="0"/>
                      <a:ext cx="4841875" cy="2085339"/>
                    </a:xfrm>
                    <a:prstGeom prst="rect">
                      <a:avLst/>
                    </a:prstGeom>
                  </pic:spPr>
                </pic:pic>
              </a:graphicData>
            </a:graphic>
          </wp:inline>
        </w:drawing>
      </w:r>
    </w:p>
    <w:p w14:paraId="310651E6">
      <w:pPr>
        <w:pStyle w:val="3"/>
        <w:spacing w:line="360" w:lineRule="auto"/>
        <w:ind w:firstLine="416" w:firstLineChars="200"/>
        <w:jc w:val="both"/>
        <w:rPr>
          <w:rFonts w:hint="eastAsia"/>
          <w:spacing w:val="-1"/>
          <w:lang w:eastAsia="zh-CN"/>
        </w:rPr>
      </w:pPr>
      <w:r>
        <w:rPr>
          <w:spacing w:val="-1"/>
          <w:lang w:eastAsia="zh-CN"/>
        </w:rPr>
        <w:t>2、酸价指标检测：酸价检测标准是《食品安全国家标准食品中酸价的测定》GB5009.229-2016，该标准中共有三个检测方法，该样品适用于三个方法，检测时会从中选其中一个，该标准在扩项评审中有对三个方法都做了方法验证报告，在都适用的情况下两个方法的检测结果比较接近，在允许的误差范围内。</w:t>
      </w:r>
    </w:p>
    <w:p w14:paraId="7A7C10E0">
      <w:pPr>
        <w:pStyle w:val="3"/>
        <w:spacing w:line="360" w:lineRule="auto"/>
        <w:ind w:firstLine="416" w:firstLineChars="200"/>
        <w:jc w:val="both"/>
        <w:rPr>
          <w:rFonts w:hint="eastAsia"/>
          <w:spacing w:val="-1"/>
          <w:lang w:eastAsia="zh-CN"/>
        </w:rPr>
        <w:sectPr>
          <w:type w:val="continuous"/>
          <w:pgSz w:w="11907" w:h="16839"/>
          <w:pgMar w:top="1440" w:right="1800" w:bottom="1440" w:left="1800" w:header="0" w:footer="0" w:gutter="0"/>
          <w:cols w:space="720" w:num="1"/>
          <w:docGrid w:linePitch="286" w:charSpace="0"/>
        </w:sectPr>
      </w:pPr>
    </w:p>
    <w:p w14:paraId="43A509FD">
      <w:pPr>
        <w:spacing w:before="161" w:line="5298" w:lineRule="exact"/>
        <w:ind w:firstLine="434"/>
        <w:jc w:val="center"/>
      </w:pPr>
      <w:r>
        <w:rPr>
          <w:position w:val="-105"/>
        </w:rPr>
        <w:drawing>
          <wp:inline distT="0" distB="0" distL="0" distR="0">
            <wp:extent cx="5273040" cy="3364230"/>
            <wp:effectExtent l="0" t="0" r="3810" b="762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2"/>
                    <a:stretch>
                      <a:fillRect/>
                    </a:stretch>
                  </pic:blipFill>
                  <pic:spPr>
                    <a:xfrm>
                      <a:off x="0" y="0"/>
                      <a:ext cx="5273040" cy="3364230"/>
                    </a:xfrm>
                    <a:prstGeom prst="rect">
                      <a:avLst/>
                    </a:prstGeom>
                  </pic:spPr>
                </pic:pic>
              </a:graphicData>
            </a:graphic>
          </wp:inline>
        </w:drawing>
      </w:r>
    </w:p>
    <w:p w14:paraId="5D8303CA">
      <w:pPr>
        <w:pStyle w:val="3"/>
        <w:spacing w:line="360" w:lineRule="auto"/>
        <w:ind w:firstLine="416" w:firstLineChars="200"/>
        <w:jc w:val="both"/>
        <w:rPr>
          <w:rFonts w:hint="eastAsia"/>
          <w:spacing w:val="-1"/>
          <w:lang w:eastAsia="zh-CN"/>
        </w:rPr>
      </w:pPr>
      <w:r>
        <w:rPr>
          <w:spacing w:val="-1"/>
          <w:lang w:eastAsia="zh-CN"/>
        </w:rPr>
        <w:t>3、过氧化值指标检测：过氧化值检测标准是《食品安全国家标准食品中过氧化值的测定》GB5009.227-2023，该标准中有第一法和第二法，该样品都适用于两个方法，检测时会从两个方法中选其中一个，该标准在扩项评审中有对两个方法都做了方法验证报告，在都适用的情况下两个方法的检测结果比较接近，在允许的误差范围内。</w:t>
      </w:r>
    </w:p>
    <w:p w14:paraId="7CF9356C">
      <w:pPr>
        <w:spacing w:line="3782" w:lineRule="exact"/>
        <w:ind w:firstLine="434"/>
      </w:pPr>
      <w:r>
        <w:rPr>
          <w:position w:val="-75"/>
        </w:rPr>
        <w:drawing>
          <wp:inline distT="0" distB="0" distL="0" distR="0">
            <wp:extent cx="5269230" cy="2401570"/>
            <wp:effectExtent l="0" t="0" r="7620" b="1778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3"/>
                    <a:stretch>
                      <a:fillRect/>
                    </a:stretch>
                  </pic:blipFill>
                  <pic:spPr>
                    <a:xfrm>
                      <a:off x="0" y="0"/>
                      <a:ext cx="5269230" cy="2402204"/>
                    </a:xfrm>
                    <a:prstGeom prst="rect">
                      <a:avLst/>
                    </a:prstGeom>
                  </pic:spPr>
                </pic:pic>
              </a:graphicData>
            </a:graphic>
          </wp:inline>
        </w:drawing>
      </w:r>
    </w:p>
    <w:p w14:paraId="3F16F77F">
      <w:pPr>
        <w:pStyle w:val="3"/>
        <w:spacing w:line="360" w:lineRule="auto"/>
        <w:ind w:firstLine="396" w:firstLineChars="200"/>
        <w:jc w:val="both"/>
        <w:rPr>
          <w:rFonts w:hint="eastAsia"/>
          <w:spacing w:val="-1"/>
          <w:sz w:val="20"/>
          <w:szCs w:val="20"/>
          <w:lang w:eastAsia="zh-CN"/>
        </w:rPr>
      </w:pPr>
      <w:r>
        <w:rPr>
          <w:spacing w:val="-1"/>
          <w:sz w:val="20"/>
          <w:szCs w:val="20"/>
          <w:lang w:eastAsia="zh-CN"/>
        </w:rPr>
        <w:t>从以上检测所得数据来看，本标准草案所规定的感官指标和理化指标是合理的。</w:t>
      </w:r>
    </w:p>
    <w:p w14:paraId="7FA9F0B0">
      <w:pPr>
        <w:pStyle w:val="3"/>
        <w:spacing w:line="360" w:lineRule="auto"/>
        <w:ind w:firstLine="396" w:firstLineChars="200"/>
        <w:jc w:val="both"/>
        <w:rPr>
          <w:rFonts w:hint="eastAsia"/>
          <w:spacing w:val="-1"/>
          <w:sz w:val="20"/>
          <w:szCs w:val="20"/>
          <w:lang w:eastAsia="zh-CN"/>
        </w:rPr>
      </w:pPr>
    </w:p>
    <w:p w14:paraId="074C6461">
      <w:pPr>
        <w:spacing w:line="298" w:lineRule="auto"/>
        <w:rPr>
          <w:lang w:eastAsia="zh-CN"/>
        </w:rPr>
      </w:pPr>
    </w:p>
    <w:p w14:paraId="47684478">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六、征求意见的采纳情况（附《征求意见汇总处理表》、重大意见分歧的处理结果和依据）</w:t>
      </w:r>
    </w:p>
    <w:p w14:paraId="2B3D6223">
      <w:pPr>
        <w:pStyle w:val="3"/>
        <w:spacing w:line="360" w:lineRule="auto"/>
        <w:ind w:firstLine="416" w:firstLineChars="200"/>
        <w:jc w:val="both"/>
        <w:rPr>
          <w:rFonts w:hint="eastAsia"/>
          <w:spacing w:val="-1"/>
          <w:lang w:eastAsia="zh-CN"/>
        </w:rPr>
      </w:pPr>
      <w:r>
        <w:rPr>
          <w:spacing w:val="-1"/>
          <w:lang w:eastAsia="zh-CN"/>
        </w:rPr>
        <w:t>无。</w:t>
      </w:r>
    </w:p>
    <w:p w14:paraId="6001CC58">
      <w:pPr>
        <w:pStyle w:val="3"/>
        <w:spacing w:line="360" w:lineRule="auto"/>
        <w:ind w:firstLine="396" w:firstLineChars="200"/>
        <w:jc w:val="both"/>
        <w:rPr>
          <w:rFonts w:hint="eastAsia"/>
          <w:spacing w:val="-1"/>
          <w:sz w:val="20"/>
          <w:szCs w:val="20"/>
          <w:lang w:eastAsia="zh-CN"/>
        </w:rPr>
        <w:sectPr>
          <w:type w:val="continuous"/>
          <w:pgSz w:w="11907" w:h="16839"/>
          <w:pgMar w:top="1440" w:right="1800" w:bottom="1440" w:left="1800" w:header="0" w:footer="0" w:gutter="0"/>
          <w:cols w:space="720" w:num="1"/>
          <w:docGrid w:linePitch="286" w:charSpace="0"/>
        </w:sectPr>
      </w:pPr>
    </w:p>
    <w:p w14:paraId="17F1FC4D">
      <w:pPr>
        <w:pStyle w:val="3"/>
        <w:spacing w:line="360" w:lineRule="auto"/>
        <w:ind w:firstLine="396" w:firstLineChars="200"/>
        <w:jc w:val="both"/>
        <w:rPr>
          <w:rFonts w:hint="eastAsia"/>
          <w:spacing w:val="-1"/>
          <w:sz w:val="20"/>
          <w:szCs w:val="20"/>
          <w:lang w:eastAsia="zh-CN"/>
        </w:rPr>
      </w:pPr>
    </w:p>
    <w:p w14:paraId="14BBBF8D">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七、标准实施建议</w:t>
      </w:r>
    </w:p>
    <w:p w14:paraId="7D1E509E">
      <w:pPr>
        <w:pStyle w:val="3"/>
        <w:spacing w:line="360" w:lineRule="auto"/>
        <w:ind w:firstLine="416" w:firstLineChars="200"/>
        <w:jc w:val="both"/>
        <w:rPr>
          <w:rFonts w:hint="eastAsia"/>
          <w:spacing w:val="-1"/>
          <w:lang w:eastAsia="zh-CN"/>
        </w:rPr>
      </w:pPr>
      <w:r>
        <w:rPr>
          <w:spacing w:val="-1"/>
          <w:lang w:eastAsia="zh-CN"/>
        </w:rPr>
        <w:t>无</w:t>
      </w:r>
      <w:r>
        <w:rPr>
          <w:rFonts w:hint="eastAsia"/>
          <w:spacing w:val="-1"/>
          <w:lang w:eastAsia="zh-CN"/>
        </w:rPr>
        <w:t>。</w:t>
      </w:r>
    </w:p>
    <w:p w14:paraId="442F8444">
      <w:pPr>
        <w:pStyle w:val="3"/>
        <w:spacing w:line="360" w:lineRule="auto"/>
        <w:ind w:firstLine="396" w:firstLineChars="200"/>
        <w:jc w:val="both"/>
        <w:rPr>
          <w:rFonts w:hint="eastAsia"/>
          <w:spacing w:val="-1"/>
          <w:sz w:val="20"/>
          <w:szCs w:val="20"/>
          <w:lang w:eastAsia="zh-CN"/>
        </w:rPr>
      </w:pPr>
    </w:p>
    <w:p w14:paraId="679A2C5F">
      <w:pPr>
        <w:spacing w:line="360" w:lineRule="auto"/>
        <w:outlineLvl w:val="1"/>
        <w:rPr>
          <w:rFonts w:hint="eastAsia" w:ascii="宋体" w:hAnsi="宋体" w:eastAsia="宋体" w:cs="宋体"/>
          <w:b/>
          <w:bCs/>
          <w:spacing w:val="-13"/>
          <w:sz w:val="24"/>
          <w:szCs w:val="24"/>
          <w:lang w:eastAsia="zh-CN"/>
        </w:rPr>
      </w:pPr>
      <w:r>
        <w:rPr>
          <w:rFonts w:ascii="宋体" w:hAnsi="宋体" w:eastAsia="宋体" w:cs="宋体"/>
          <w:b/>
          <w:bCs/>
          <w:spacing w:val="-13"/>
          <w:sz w:val="24"/>
          <w:szCs w:val="24"/>
          <w:lang w:eastAsia="zh-CN"/>
        </w:rPr>
        <w:t>八、其他需要说明的事项（含涉及专利情况说明）</w:t>
      </w:r>
    </w:p>
    <w:p w14:paraId="238A21FA">
      <w:pPr>
        <w:pStyle w:val="3"/>
        <w:spacing w:line="360" w:lineRule="auto"/>
        <w:ind w:firstLine="416" w:firstLineChars="200"/>
        <w:jc w:val="both"/>
        <w:rPr>
          <w:rFonts w:hint="eastAsia"/>
          <w:spacing w:val="-1"/>
          <w:lang w:eastAsia="zh-CN"/>
        </w:rPr>
        <w:sectPr>
          <w:type w:val="continuous"/>
          <w:pgSz w:w="11907" w:h="16839"/>
          <w:pgMar w:top="1440" w:right="1800" w:bottom="1440" w:left="1800" w:header="0" w:footer="0" w:gutter="0"/>
          <w:cols w:space="720" w:num="1"/>
          <w:docGrid w:linePitch="286" w:charSpace="0"/>
        </w:sectPr>
      </w:pPr>
      <w:r>
        <w:rPr>
          <w:spacing w:val="-1"/>
          <w:lang w:eastAsia="zh-CN"/>
        </w:rPr>
        <w:t>专利说明：无</w:t>
      </w:r>
      <w:r>
        <w:rPr>
          <w:rFonts w:hint="eastAsia"/>
          <w:spacing w:val="-1"/>
          <w:lang w:eastAsia="zh-CN"/>
        </w:rPr>
        <w:t>。</w:t>
      </w:r>
    </w:p>
    <w:p w14:paraId="2548654D">
      <w:pPr>
        <w:spacing w:line="243" w:lineRule="auto"/>
        <w:rPr>
          <w:rFonts w:eastAsiaTheme="minorEastAsia"/>
          <w:lang w:eastAsia="zh-CN"/>
        </w:rPr>
      </w:pPr>
    </w:p>
    <w:p w14:paraId="466D61A7">
      <w:pPr>
        <w:rPr>
          <w:lang w:eastAsia="zh-CN"/>
        </w:rPr>
      </w:pPr>
      <w:r>
        <w:rPr>
          <w:rFonts w:hint="eastAsia"/>
          <w:lang w:eastAsia="zh-CN"/>
        </w:rPr>
        <w:br w:type="page"/>
      </w:r>
    </w:p>
    <w:p w14:paraId="27EC5F64">
      <w:pPr>
        <w:spacing w:before="53" w:line="219" w:lineRule="auto"/>
        <w:ind w:left="139"/>
        <w:rPr>
          <w:rFonts w:hint="eastAsia" w:ascii="宋体" w:hAnsi="宋体" w:eastAsia="宋体" w:cs="宋体"/>
          <w:sz w:val="24"/>
          <w:szCs w:val="24"/>
        </w:rPr>
        <w:sectPr>
          <w:headerReference r:id="rId3" w:type="default"/>
          <w:type w:val="continuous"/>
          <w:pgSz w:w="11909" w:h="16849"/>
          <w:pgMar w:top="1440" w:right="1800" w:bottom="1440" w:left="1800" w:header="0" w:footer="0" w:gutter="0"/>
          <w:cols w:space="720" w:num="1"/>
          <w:docGrid w:linePitch="286" w:charSpace="0"/>
        </w:sectPr>
      </w:pPr>
    </w:p>
    <w:p w14:paraId="5677A672">
      <w:pPr>
        <w:spacing w:line="16827" w:lineRule="exact"/>
      </w:pPr>
      <w:r>
        <w:rPr>
          <w:position w:val="-336"/>
        </w:rPr>
        <w:drawing>
          <wp:inline distT="0" distB="0" distL="0" distR="0">
            <wp:extent cx="7540625" cy="10685145"/>
            <wp:effectExtent l="0" t="0" r="3175" b="1905"/>
            <wp:docPr id="3" name="IM 4"/>
            <wp:cNvGraphicFramePr/>
            <a:graphic xmlns:a="http://schemas.openxmlformats.org/drawingml/2006/main">
              <a:graphicData uri="http://schemas.openxmlformats.org/drawingml/2006/picture">
                <pic:pic xmlns:pic="http://schemas.openxmlformats.org/drawingml/2006/picture">
                  <pic:nvPicPr>
                    <pic:cNvPr id="3" name="IM 4"/>
                    <pic:cNvPicPr/>
                  </pic:nvPicPr>
                  <pic:blipFill>
                    <a:blip r:embed="rId14"/>
                    <a:stretch>
                      <a:fillRect/>
                    </a:stretch>
                  </pic:blipFill>
                  <pic:spPr>
                    <a:xfrm>
                      <a:off x="0" y="0"/>
                      <a:ext cx="7541176" cy="10685298"/>
                    </a:xfrm>
                    <a:prstGeom prst="rect">
                      <a:avLst/>
                    </a:prstGeom>
                  </pic:spPr>
                </pic:pic>
              </a:graphicData>
            </a:graphic>
          </wp:inline>
        </w:drawing>
      </w:r>
    </w:p>
    <w:p w14:paraId="52F569FF">
      <w:pPr>
        <w:spacing w:line="16827" w:lineRule="exact"/>
        <w:sectPr>
          <w:headerReference r:id="rId4" w:type="default"/>
          <w:footerReference r:id="rId5" w:type="default"/>
          <w:pgSz w:w="11900" w:h="16840"/>
          <w:pgMar w:top="1" w:right="12" w:bottom="1" w:left="12" w:header="0" w:footer="0" w:gutter="0"/>
          <w:cols w:space="720" w:num="1"/>
        </w:sectPr>
      </w:pPr>
    </w:p>
    <w:p w14:paraId="0290BE64">
      <w:pPr>
        <w:spacing w:line="16808" w:lineRule="exact"/>
      </w:pPr>
      <w:r>
        <w:rPr>
          <w:position w:val="-336"/>
        </w:rPr>
        <w:drawing>
          <wp:inline distT="0" distB="0" distL="0" distR="0">
            <wp:extent cx="7546975" cy="10673080"/>
            <wp:effectExtent l="0" t="0" r="15875" b="13970"/>
            <wp:docPr id="5" name="IM 6"/>
            <wp:cNvGraphicFramePr/>
            <a:graphic xmlns:a="http://schemas.openxmlformats.org/drawingml/2006/main">
              <a:graphicData uri="http://schemas.openxmlformats.org/drawingml/2006/picture">
                <pic:pic xmlns:pic="http://schemas.openxmlformats.org/drawingml/2006/picture">
                  <pic:nvPicPr>
                    <pic:cNvPr id="5" name="IM 6"/>
                    <pic:cNvPicPr/>
                  </pic:nvPicPr>
                  <pic:blipFill>
                    <a:blip r:embed="rId15"/>
                    <a:stretch>
                      <a:fillRect/>
                    </a:stretch>
                  </pic:blipFill>
                  <pic:spPr>
                    <a:xfrm>
                      <a:off x="0" y="0"/>
                      <a:ext cx="7547478" cy="10673150"/>
                    </a:xfrm>
                    <a:prstGeom prst="rect">
                      <a:avLst/>
                    </a:prstGeom>
                  </pic:spPr>
                </pic:pic>
              </a:graphicData>
            </a:graphic>
          </wp:inline>
        </w:drawing>
      </w:r>
    </w:p>
    <w:p w14:paraId="678BFF87">
      <w:pPr>
        <w:spacing w:line="16808" w:lineRule="exact"/>
        <w:sectPr>
          <w:pgSz w:w="11900" w:h="16840"/>
          <w:pgMar w:top="20" w:right="0" w:bottom="1" w:left="14" w:header="0" w:footer="0" w:gutter="0"/>
          <w:cols w:space="720" w:num="1"/>
        </w:sectPr>
      </w:pPr>
    </w:p>
    <w:p w14:paraId="3855FB8F">
      <w:pPr>
        <w:spacing w:line="16804" w:lineRule="exact"/>
      </w:pPr>
      <w:r>
        <w:rPr>
          <w:position w:val="-336"/>
        </w:rPr>
        <w:drawing>
          <wp:inline distT="0" distB="0" distL="0" distR="0">
            <wp:extent cx="7556500" cy="10670540"/>
            <wp:effectExtent l="0" t="0" r="6350" b="1651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6"/>
                    <a:stretch>
                      <a:fillRect/>
                    </a:stretch>
                  </pic:blipFill>
                  <pic:spPr>
                    <a:xfrm>
                      <a:off x="0" y="0"/>
                      <a:ext cx="7556500" cy="10670724"/>
                    </a:xfrm>
                    <a:prstGeom prst="rect">
                      <a:avLst/>
                    </a:prstGeom>
                  </pic:spPr>
                </pic:pic>
              </a:graphicData>
            </a:graphic>
          </wp:inline>
        </w:drawing>
      </w:r>
    </w:p>
    <w:p w14:paraId="25792647">
      <w:pPr>
        <w:spacing w:line="16804" w:lineRule="exact"/>
        <w:sectPr>
          <w:pgSz w:w="11900" w:h="16840"/>
          <w:pgMar w:top="5" w:right="0" w:bottom="20" w:left="0" w:header="0" w:footer="0" w:gutter="0"/>
          <w:cols w:space="720" w:num="1"/>
        </w:sectPr>
      </w:pPr>
    </w:p>
    <w:p w14:paraId="63BD0382">
      <w:pPr>
        <w:spacing w:line="16808" w:lineRule="exact"/>
      </w:pPr>
      <w:r>
        <w:rPr>
          <w:position w:val="-336"/>
        </w:rPr>
        <w:drawing>
          <wp:inline distT="0" distB="0" distL="0" distR="0">
            <wp:extent cx="7556500" cy="10673080"/>
            <wp:effectExtent l="0" t="0" r="6350" b="1397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7"/>
                    <a:stretch>
                      <a:fillRect/>
                    </a:stretch>
                  </pic:blipFill>
                  <pic:spPr>
                    <a:xfrm>
                      <a:off x="0" y="0"/>
                      <a:ext cx="7556500" cy="10673149"/>
                    </a:xfrm>
                    <a:prstGeom prst="rect">
                      <a:avLst/>
                    </a:prstGeom>
                  </pic:spPr>
                </pic:pic>
              </a:graphicData>
            </a:graphic>
          </wp:inline>
        </w:drawing>
      </w:r>
    </w:p>
    <w:p w14:paraId="1F799630">
      <w:pPr>
        <w:spacing w:line="16808" w:lineRule="exact"/>
        <w:sectPr>
          <w:pgSz w:w="11900" w:h="16840"/>
          <w:pgMar w:top="20" w:right="0" w:bottom="1" w:left="0" w:header="0" w:footer="0" w:gutter="0"/>
          <w:cols w:space="720" w:num="1"/>
        </w:sectPr>
      </w:pPr>
    </w:p>
    <w:p w14:paraId="12C2213A">
      <w:pPr>
        <w:spacing w:line="16827" w:lineRule="exact"/>
      </w:pPr>
      <w:r>
        <w:rPr>
          <w:position w:val="-336"/>
        </w:rPr>
        <w:drawing>
          <wp:inline distT="0" distB="0" distL="0" distR="0">
            <wp:extent cx="7537450" cy="10685145"/>
            <wp:effectExtent l="0" t="0" r="6350" b="1905"/>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8"/>
                    <a:stretch>
                      <a:fillRect/>
                    </a:stretch>
                  </pic:blipFill>
                  <pic:spPr>
                    <a:xfrm>
                      <a:off x="0" y="0"/>
                      <a:ext cx="7537883" cy="10685298"/>
                    </a:xfrm>
                    <a:prstGeom prst="rect">
                      <a:avLst/>
                    </a:prstGeom>
                  </pic:spPr>
                </pic:pic>
              </a:graphicData>
            </a:graphic>
          </wp:inline>
        </w:drawing>
      </w:r>
    </w:p>
    <w:p w14:paraId="61473564">
      <w:pPr>
        <w:spacing w:line="16827" w:lineRule="exact"/>
        <w:sectPr>
          <w:pgSz w:w="11900" w:h="16840"/>
          <w:pgMar w:top="1" w:right="14" w:bottom="1" w:left="14" w:header="0" w:footer="0" w:gutter="0"/>
          <w:cols w:space="720" w:num="1"/>
        </w:sectPr>
      </w:pPr>
    </w:p>
    <w:p w14:paraId="6A1FEB11">
      <w:pPr>
        <w:spacing w:line="15938" w:lineRule="exact"/>
      </w:pPr>
      <w:r>
        <w:rPr>
          <w:position w:val="-318"/>
        </w:rPr>
        <w:drawing>
          <wp:inline distT="0" distB="0" distL="0" distR="0">
            <wp:extent cx="7044055" cy="10120630"/>
            <wp:effectExtent l="0" t="0" r="4445" b="1397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9"/>
                    <a:stretch>
                      <a:fillRect/>
                    </a:stretch>
                  </pic:blipFill>
                  <pic:spPr>
                    <a:xfrm>
                      <a:off x="0" y="0"/>
                      <a:ext cx="7044656" cy="10121024"/>
                    </a:xfrm>
                    <a:prstGeom prst="rect">
                      <a:avLst/>
                    </a:prstGeom>
                  </pic:spPr>
                </pic:pic>
              </a:graphicData>
            </a:graphic>
          </wp:inline>
        </w:drawing>
      </w:r>
    </w:p>
    <w:p w14:paraId="0734751A">
      <w:pPr>
        <w:spacing w:line="15938" w:lineRule="exact"/>
        <w:sectPr>
          <w:pgSz w:w="11900" w:h="16840"/>
          <w:pgMar w:top="1" w:right="200" w:bottom="400" w:left="403" w:header="0" w:footer="0" w:gutter="0"/>
          <w:cols w:space="720" w:num="1"/>
        </w:sectPr>
      </w:pPr>
    </w:p>
    <w:p w14:paraId="302EC55E">
      <w:pPr>
        <w:spacing w:line="15938" w:lineRule="exact"/>
      </w:pPr>
      <w:r>
        <w:rPr>
          <w:position w:val="-318"/>
        </w:rPr>
        <w:drawing>
          <wp:inline distT="0" distB="0" distL="0" distR="0">
            <wp:extent cx="6876415" cy="10120630"/>
            <wp:effectExtent l="0" t="0" r="635" b="1397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0"/>
                    <a:stretch>
                      <a:fillRect/>
                    </a:stretch>
                  </pic:blipFill>
                  <pic:spPr>
                    <a:xfrm>
                      <a:off x="0" y="0"/>
                      <a:ext cx="6876637" cy="10121024"/>
                    </a:xfrm>
                    <a:prstGeom prst="rect">
                      <a:avLst/>
                    </a:prstGeom>
                  </pic:spPr>
                </pic:pic>
              </a:graphicData>
            </a:graphic>
          </wp:inline>
        </w:drawing>
      </w:r>
    </w:p>
    <w:p w14:paraId="230424F7">
      <w:pPr>
        <w:spacing w:line="15938" w:lineRule="exact"/>
        <w:sectPr>
          <w:pgSz w:w="11900" w:h="16840"/>
          <w:pgMar w:top="1" w:right="200" w:bottom="400" w:left="535" w:header="0" w:footer="0" w:gutter="0"/>
          <w:cols w:space="720" w:num="1"/>
        </w:sectPr>
      </w:pPr>
    </w:p>
    <w:p w14:paraId="72B06A5E">
      <w:pPr>
        <w:spacing w:line="15938" w:lineRule="exact"/>
      </w:pPr>
      <w:r>
        <w:rPr>
          <w:position w:val="-318"/>
        </w:rPr>
        <w:drawing>
          <wp:inline distT="0" distB="0" distL="0" distR="0">
            <wp:extent cx="7044690" cy="10120630"/>
            <wp:effectExtent l="0" t="0" r="3810" b="1397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1"/>
                    <a:stretch>
                      <a:fillRect/>
                    </a:stretch>
                  </pic:blipFill>
                  <pic:spPr>
                    <a:xfrm>
                      <a:off x="0" y="0"/>
                      <a:ext cx="7044841" cy="10121024"/>
                    </a:xfrm>
                    <a:prstGeom prst="rect">
                      <a:avLst/>
                    </a:prstGeom>
                  </pic:spPr>
                </pic:pic>
              </a:graphicData>
            </a:graphic>
          </wp:inline>
        </w:drawing>
      </w:r>
    </w:p>
    <w:p w14:paraId="37DE6685">
      <w:pPr>
        <w:spacing w:line="15938" w:lineRule="exact"/>
        <w:sectPr>
          <w:pgSz w:w="11900" w:h="16840"/>
          <w:pgMar w:top="1" w:right="200" w:bottom="400" w:left="402" w:header="0" w:footer="0" w:gutter="0"/>
          <w:cols w:space="720" w:num="1"/>
        </w:sectPr>
      </w:pPr>
    </w:p>
    <w:p w14:paraId="67E68CEF">
      <w:pPr>
        <w:spacing w:line="15938" w:lineRule="exact"/>
      </w:pPr>
      <w:r>
        <w:rPr>
          <w:position w:val="-318"/>
        </w:rPr>
        <w:drawing>
          <wp:inline distT="0" distB="0" distL="0" distR="0">
            <wp:extent cx="6989445" cy="10120630"/>
            <wp:effectExtent l="0" t="0" r="1905" b="1397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2"/>
                    <a:stretch>
                      <a:fillRect/>
                    </a:stretch>
                  </pic:blipFill>
                  <pic:spPr>
                    <a:xfrm>
                      <a:off x="0" y="0"/>
                      <a:ext cx="6989546" cy="10121024"/>
                    </a:xfrm>
                    <a:prstGeom prst="rect">
                      <a:avLst/>
                    </a:prstGeom>
                  </pic:spPr>
                </pic:pic>
              </a:graphicData>
            </a:graphic>
          </wp:inline>
        </w:drawing>
      </w:r>
    </w:p>
    <w:p w14:paraId="72584B0E">
      <w:pPr>
        <w:spacing w:line="15938" w:lineRule="exact"/>
        <w:sectPr>
          <w:pgSz w:w="11900" w:h="16840"/>
          <w:pgMar w:top="1" w:right="200" w:bottom="400" w:left="446" w:header="0" w:footer="0" w:gutter="0"/>
          <w:cols w:space="720" w:num="1"/>
        </w:sectPr>
      </w:pPr>
    </w:p>
    <w:p w14:paraId="554659EB">
      <w:pPr>
        <w:spacing w:line="15938" w:lineRule="exact"/>
      </w:pPr>
      <w:r>
        <w:rPr>
          <w:position w:val="-318"/>
        </w:rPr>
        <w:drawing>
          <wp:inline distT="0" distB="0" distL="0" distR="0">
            <wp:extent cx="7069455" cy="10120630"/>
            <wp:effectExtent l="0" t="0" r="17145" b="1397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23"/>
                    <a:stretch>
                      <a:fillRect/>
                    </a:stretch>
                  </pic:blipFill>
                  <pic:spPr>
                    <a:xfrm>
                      <a:off x="0" y="0"/>
                      <a:ext cx="7069677" cy="10121024"/>
                    </a:xfrm>
                    <a:prstGeom prst="rect">
                      <a:avLst/>
                    </a:prstGeom>
                  </pic:spPr>
                </pic:pic>
              </a:graphicData>
            </a:graphic>
          </wp:inline>
        </w:drawing>
      </w:r>
    </w:p>
    <w:p w14:paraId="5B2521E0">
      <w:pPr>
        <w:spacing w:line="15938" w:lineRule="exact"/>
        <w:sectPr>
          <w:pgSz w:w="11900" w:h="16840"/>
          <w:pgMar w:top="1" w:right="200" w:bottom="400" w:left="383" w:header="0" w:footer="0" w:gutter="0"/>
          <w:cols w:space="720" w:num="1"/>
        </w:sectPr>
      </w:pPr>
    </w:p>
    <w:p w14:paraId="1EE3AF89">
      <w:pPr>
        <w:spacing w:line="15938" w:lineRule="exact"/>
      </w:pPr>
      <w:r>
        <w:rPr>
          <w:position w:val="-318"/>
        </w:rPr>
        <w:drawing>
          <wp:inline distT="0" distB="0" distL="0" distR="0">
            <wp:extent cx="6896100" cy="10120630"/>
            <wp:effectExtent l="0" t="0" r="0" b="1397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24"/>
                    <a:stretch>
                      <a:fillRect/>
                    </a:stretch>
                  </pic:blipFill>
                  <pic:spPr>
                    <a:xfrm>
                      <a:off x="0" y="0"/>
                      <a:ext cx="6896100" cy="10121024"/>
                    </a:xfrm>
                    <a:prstGeom prst="rect">
                      <a:avLst/>
                    </a:prstGeom>
                  </pic:spPr>
                </pic:pic>
              </a:graphicData>
            </a:graphic>
          </wp:inline>
        </w:drawing>
      </w:r>
    </w:p>
    <w:p w14:paraId="7DCB9E5F">
      <w:pPr>
        <w:spacing w:line="15938" w:lineRule="exact"/>
        <w:sectPr>
          <w:pgSz w:w="11900" w:h="16840"/>
          <w:pgMar w:top="1" w:right="200" w:bottom="400" w:left="520" w:header="0" w:footer="0" w:gutter="0"/>
          <w:cols w:space="720" w:num="1"/>
        </w:sectPr>
      </w:pPr>
    </w:p>
    <w:p w14:paraId="3E3C205B">
      <w:pPr>
        <w:spacing w:line="15938" w:lineRule="exact"/>
      </w:pPr>
      <w:r>
        <w:rPr>
          <w:position w:val="-318"/>
        </w:rPr>
        <w:drawing>
          <wp:inline distT="0" distB="0" distL="0" distR="0">
            <wp:extent cx="7005320" cy="10120630"/>
            <wp:effectExtent l="0" t="0" r="5080" b="1397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5"/>
                    <a:stretch>
                      <a:fillRect/>
                    </a:stretch>
                  </pic:blipFill>
                  <pic:spPr>
                    <a:xfrm>
                      <a:off x="0" y="0"/>
                      <a:ext cx="7005727" cy="10121024"/>
                    </a:xfrm>
                    <a:prstGeom prst="rect">
                      <a:avLst/>
                    </a:prstGeom>
                  </pic:spPr>
                </pic:pic>
              </a:graphicData>
            </a:graphic>
          </wp:inline>
        </w:drawing>
      </w:r>
    </w:p>
    <w:p w14:paraId="06033909">
      <w:pPr>
        <w:spacing w:line="15938" w:lineRule="exact"/>
        <w:sectPr>
          <w:pgSz w:w="11900" w:h="16840"/>
          <w:pgMar w:top="1" w:right="200" w:bottom="400" w:left="433" w:header="0" w:footer="0" w:gutter="0"/>
          <w:cols w:space="720" w:num="1"/>
        </w:sectPr>
      </w:pPr>
    </w:p>
    <w:p w14:paraId="2A4256CB">
      <w:pPr>
        <w:spacing w:line="15938" w:lineRule="exact"/>
      </w:pPr>
      <w:r>
        <w:rPr>
          <w:position w:val="-318"/>
        </w:rPr>
        <w:drawing>
          <wp:inline distT="0" distB="0" distL="0" distR="0">
            <wp:extent cx="7091045" cy="10120630"/>
            <wp:effectExtent l="0" t="0" r="14605" b="1397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26"/>
                    <a:stretch>
                      <a:fillRect/>
                    </a:stretch>
                  </pic:blipFill>
                  <pic:spPr>
                    <a:xfrm>
                      <a:off x="0" y="0"/>
                      <a:ext cx="7091214" cy="10121024"/>
                    </a:xfrm>
                    <a:prstGeom prst="rect">
                      <a:avLst/>
                    </a:prstGeom>
                  </pic:spPr>
                </pic:pic>
              </a:graphicData>
            </a:graphic>
          </wp:inline>
        </w:drawing>
      </w:r>
    </w:p>
    <w:p w14:paraId="5A923BB4">
      <w:pPr>
        <w:spacing w:line="15938" w:lineRule="exact"/>
        <w:sectPr>
          <w:pgSz w:w="11900" w:h="16840"/>
          <w:pgMar w:top="1" w:right="200" w:bottom="400" w:left="366" w:header="0" w:footer="0" w:gutter="0"/>
          <w:cols w:space="720" w:num="1"/>
        </w:sectPr>
      </w:pPr>
    </w:p>
    <w:p w14:paraId="3BD6DA20">
      <w:pPr>
        <w:spacing w:line="15938" w:lineRule="exact"/>
      </w:pPr>
      <w:r>
        <w:rPr>
          <w:position w:val="-318"/>
        </w:rPr>
        <w:drawing>
          <wp:inline distT="0" distB="0" distL="0" distR="0">
            <wp:extent cx="7129145" cy="10120630"/>
            <wp:effectExtent l="0" t="0" r="14605" b="13970"/>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27"/>
                    <a:stretch>
                      <a:fillRect/>
                    </a:stretch>
                  </pic:blipFill>
                  <pic:spPr>
                    <a:xfrm>
                      <a:off x="0" y="0"/>
                      <a:ext cx="7129251" cy="10121024"/>
                    </a:xfrm>
                    <a:prstGeom prst="rect">
                      <a:avLst/>
                    </a:prstGeom>
                  </pic:spPr>
                </pic:pic>
              </a:graphicData>
            </a:graphic>
          </wp:inline>
        </w:drawing>
      </w:r>
    </w:p>
    <w:p w14:paraId="5AC4059B">
      <w:pPr>
        <w:spacing w:line="15938" w:lineRule="exact"/>
        <w:sectPr>
          <w:pgSz w:w="11900" w:h="16840"/>
          <w:pgMar w:top="1" w:right="200" w:bottom="400" w:left="336" w:header="0" w:footer="0" w:gutter="0"/>
          <w:cols w:space="720" w:num="1"/>
        </w:sectPr>
      </w:pPr>
    </w:p>
    <w:p w14:paraId="4B4944A3">
      <w:pPr>
        <w:spacing w:line="15938" w:lineRule="exact"/>
      </w:pPr>
      <w:r>
        <w:rPr>
          <w:position w:val="-318"/>
        </w:rPr>
        <w:drawing>
          <wp:inline distT="0" distB="0" distL="0" distR="0">
            <wp:extent cx="7034530" cy="10120630"/>
            <wp:effectExtent l="0" t="0" r="13970" b="1397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8"/>
                    <a:stretch>
                      <a:fillRect/>
                    </a:stretch>
                  </pic:blipFill>
                  <pic:spPr>
                    <a:xfrm>
                      <a:off x="0" y="0"/>
                      <a:ext cx="7034850" cy="10121024"/>
                    </a:xfrm>
                    <a:prstGeom prst="rect">
                      <a:avLst/>
                    </a:prstGeom>
                  </pic:spPr>
                </pic:pic>
              </a:graphicData>
            </a:graphic>
          </wp:inline>
        </w:drawing>
      </w:r>
    </w:p>
    <w:p w14:paraId="14C2A0A0">
      <w:pPr>
        <w:spacing w:line="15938" w:lineRule="exact"/>
        <w:sectPr>
          <w:pgSz w:w="11900" w:h="16840"/>
          <w:pgMar w:top="1" w:right="200" w:bottom="400" w:left="410" w:header="0" w:footer="0" w:gutter="0"/>
          <w:cols w:space="720" w:num="1"/>
        </w:sectPr>
      </w:pPr>
    </w:p>
    <w:p w14:paraId="7E26909C">
      <w:pPr>
        <w:spacing w:line="15938" w:lineRule="exact"/>
      </w:pPr>
      <w:r>
        <w:rPr>
          <w:position w:val="-318"/>
        </w:rPr>
        <w:drawing>
          <wp:inline distT="0" distB="0" distL="0" distR="0">
            <wp:extent cx="7096760" cy="10120630"/>
            <wp:effectExtent l="0" t="0" r="8890" b="1397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9"/>
                    <a:stretch>
                      <a:fillRect/>
                    </a:stretch>
                  </pic:blipFill>
                  <pic:spPr>
                    <a:xfrm>
                      <a:off x="0" y="0"/>
                      <a:ext cx="7097346" cy="10121024"/>
                    </a:xfrm>
                    <a:prstGeom prst="rect">
                      <a:avLst/>
                    </a:prstGeom>
                  </pic:spPr>
                </pic:pic>
              </a:graphicData>
            </a:graphic>
          </wp:inline>
        </w:drawing>
      </w:r>
    </w:p>
    <w:p w14:paraId="20DF6B01">
      <w:pPr>
        <w:spacing w:line="15938" w:lineRule="exact"/>
        <w:sectPr>
          <w:pgSz w:w="11900" w:h="16840"/>
          <w:pgMar w:top="1" w:right="200" w:bottom="400" w:left="361" w:header="0" w:footer="0" w:gutter="0"/>
          <w:cols w:space="720" w:num="1"/>
        </w:sectPr>
      </w:pPr>
    </w:p>
    <w:p w14:paraId="4F71E0DF">
      <w:pPr>
        <w:spacing w:line="15938" w:lineRule="exact"/>
      </w:pPr>
      <w:r>
        <w:rPr>
          <w:position w:val="-318"/>
        </w:rPr>
        <w:drawing>
          <wp:inline distT="0" distB="0" distL="0" distR="0">
            <wp:extent cx="6942455" cy="10120630"/>
            <wp:effectExtent l="0" t="0" r="10795" b="1397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30"/>
                    <a:stretch>
                      <a:fillRect/>
                    </a:stretch>
                  </pic:blipFill>
                  <pic:spPr>
                    <a:xfrm>
                      <a:off x="0" y="0"/>
                      <a:ext cx="6942829" cy="10121024"/>
                    </a:xfrm>
                    <a:prstGeom prst="rect">
                      <a:avLst/>
                    </a:prstGeom>
                  </pic:spPr>
                </pic:pic>
              </a:graphicData>
            </a:graphic>
          </wp:inline>
        </w:drawing>
      </w:r>
    </w:p>
    <w:p w14:paraId="3FE0E020">
      <w:pPr>
        <w:spacing w:line="15938" w:lineRule="exact"/>
        <w:sectPr>
          <w:pgSz w:w="11900" w:h="16840"/>
          <w:pgMar w:top="1" w:right="200" w:bottom="400" w:left="483" w:header="0" w:footer="0" w:gutter="0"/>
          <w:cols w:space="720" w:num="1"/>
        </w:sectPr>
      </w:pPr>
    </w:p>
    <w:p w14:paraId="230F966A">
      <w:pPr>
        <w:spacing w:line="16827" w:lineRule="exact"/>
      </w:pPr>
      <w:r>
        <w:rPr>
          <w:position w:val="-336"/>
        </w:rPr>
        <w:drawing>
          <wp:inline distT="0" distB="0" distL="0" distR="0">
            <wp:extent cx="7529830" cy="10685145"/>
            <wp:effectExtent l="0" t="0" r="13970" b="1905"/>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31"/>
                    <a:stretch>
                      <a:fillRect/>
                    </a:stretch>
                  </pic:blipFill>
                  <pic:spPr>
                    <a:xfrm>
                      <a:off x="0" y="0"/>
                      <a:ext cx="7530169" cy="10685298"/>
                    </a:xfrm>
                    <a:prstGeom prst="rect">
                      <a:avLst/>
                    </a:prstGeom>
                  </pic:spPr>
                </pic:pic>
              </a:graphicData>
            </a:graphic>
          </wp:inline>
        </w:drawing>
      </w:r>
    </w:p>
    <w:p w14:paraId="7B966673">
      <w:pPr>
        <w:spacing w:line="16827" w:lineRule="exact"/>
        <w:sectPr>
          <w:pgSz w:w="11900" w:h="16840"/>
          <w:pgMar w:top="1" w:right="20" w:bottom="1" w:left="20" w:header="0" w:footer="0" w:gutter="0"/>
          <w:cols w:space="720" w:num="1"/>
        </w:sectPr>
      </w:pPr>
    </w:p>
    <w:p w14:paraId="6DB78E21">
      <w:pPr>
        <w:spacing w:line="16827" w:lineRule="exact"/>
      </w:pPr>
      <w:r>
        <w:rPr>
          <w:position w:val="-336"/>
        </w:rPr>
        <w:drawing>
          <wp:inline distT="0" distB="0" distL="0" distR="0">
            <wp:extent cx="7431405" cy="10685145"/>
            <wp:effectExtent l="0" t="0" r="17145" b="1905"/>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32"/>
                    <a:stretch>
                      <a:fillRect/>
                    </a:stretch>
                  </pic:blipFill>
                  <pic:spPr>
                    <a:xfrm>
                      <a:off x="0" y="0"/>
                      <a:ext cx="7431851" cy="10685298"/>
                    </a:xfrm>
                    <a:prstGeom prst="rect">
                      <a:avLst/>
                    </a:prstGeom>
                  </pic:spPr>
                </pic:pic>
              </a:graphicData>
            </a:graphic>
          </wp:inline>
        </w:drawing>
      </w:r>
    </w:p>
    <w:p w14:paraId="2E125AF6">
      <w:pPr>
        <w:spacing w:line="16827" w:lineRule="exact"/>
        <w:sectPr>
          <w:pgSz w:w="11900" w:h="16840"/>
          <w:pgMar w:top="1" w:right="98" w:bottom="1" w:left="98" w:header="0" w:footer="0" w:gutter="0"/>
          <w:cols w:space="720" w:num="1"/>
        </w:sectPr>
      </w:pPr>
    </w:p>
    <w:p w14:paraId="16D09EB5">
      <w:pPr>
        <w:spacing w:line="16827" w:lineRule="exact"/>
      </w:pPr>
      <w:r>
        <w:rPr>
          <w:position w:val="-336"/>
        </w:rPr>
        <w:drawing>
          <wp:inline distT="0" distB="0" distL="0" distR="0">
            <wp:extent cx="7022465" cy="10685145"/>
            <wp:effectExtent l="0" t="0" r="6985" b="1905"/>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33"/>
                    <a:stretch>
                      <a:fillRect/>
                    </a:stretch>
                  </pic:blipFill>
                  <pic:spPr>
                    <a:xfrm>
                      <a:off x="0" y="0"/>
                      <a:ext cx="7022531" cy="10685298"/>
                    </a:xfrm>
                    <a:prstGeom prst="rect">
                      <a:avLst/>
                    </a:prstGeom>
                  </pic:spPr>
                </pic:pic>
              </a:graphicData>
            </a:graphic>
          </wp:inline>
        </w:drawing>
      </w:r>
    </w:p>
    <w:p w14:paraId="5B98C624">
      <w:pPr>
        <w:spacing w:line="16827" w:lineRule="exact"/>
        <w:sectPr>
          <w:pgSz w:w="11900" w:h="16840"/>
          <w:pgMar w:top="1" w:right="420" w:bottom="1" w:left="420" w:header="0" w:footer="0" w:gutter="0"/>
          <w:cols w:space="720" w:num="1"/>
        </w:sectPr>
      </w:pPr>
    </w:p>
    <w:p w14:paraId="63C9D257">
      <w:pPr>
        <w:spacing w:line="16827" w:lineRule="exact"/>
      </w:pPr>
      <w:r>
        <w:rPr>
          <w:position w:val="-336"/>
        </w:rPr>
        <w:drawing>
          <wp:inline distT="0" distB="0" distL="0" distR="0">
            <wp:extent cx="6821170" cy="10685145"/>
            <wp:effectExtent l="0" t="0" r="17780" b="1905"/>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34"/>
                    <a:stretch>
                      <a:fillRect/>
                    </a:stretch>
                  </pic:blipFill>
                  <pic:spPr>
                    <a:xfrm>
                      <a:off x="0" y="0"/>
                      <a:ext cx="6821285" cy="10685298"/>
                    </a:xfrm>
                    <a:prstGeom prst="rect">
                      <a:avLst/>
                    </a:prstGeom>
                  </pic:spPr>
                </pic:pic>
              </a:graphicData>
            </a:graphic>
          </wp:inline>
        </w:drawing>
      </w:r>
    </w:p>
    <w:p w14:paraId="76812B9B">
      <w:pPr>
        <w:spacing w:line="16827" w:lineRule="exact"/>
        <w:sectPr>
          <w:pgSz w:w="11900" w:h="16840"/>
          <w:pgMar w:top="1" w:right="578" w:bottom="1" w:left="578" w:header="0" w:footer="0" w:gutter="0"/>
          <w:cols w:space="720" w:num="1"/>
        </w:sectPr>
      </w:pPr>
    </w:p>
    <w:p w14:paraId="29623B58">
      <w:pPr>
        <w:spacing w:line="16827" w:lineRule="exact"/>
      </w:pPr>
      <w:r>
        <w:rPr>
          <w:position w:val="-336"/>
        </w:rPr>
        <w:drawing>
          <wp:inline distT="0" distB="0" distL="0" distR="0">
            <wp:extent cx="7426325" cy="10685145"/>
            <wp:effectExtent l="0" t="0" r="3175" b="1905"/>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35"/>
                    <a:stretch>
                      <a:fillRect/>
                    </a:stretch>
                  </pic:blipFill>
                  <pic:spPr>
                    <a:xfrm>
                      <a:off x="0" y="0"/>
                      <a:ext cx="7426651" cy="10685298"/>
                    </a:xfrm>
                    <a:prstGeom prst="rect">
                      <a:avLst/>
                    </a:prstGeom>
                  </pic:spPr>
                </pic:pic>
              </a:graphicData>
            </a:graphic>
          </wp:inline>
        </w:drawing>
      </w:r>
    </w:p>
    <w:p w14:paraId="22F27CCC">
      <w:pPr>
        <w:spacing w:line="16827" w:lineRule="exact"/>
        <w:sectPr>
          <w:pgSz w:w="11900" w:h="16840"/>
          <w:pgMar w:top="1" w:right="102" w:bottom="1" w:left="102" w:header="0" w:footer="0" w:gutter="0"/>
          <w:cols w:space="720" w:num="1"/>
        </w:sectPr>
      </w:pPr>
    </w:p>
    <w:p w14:paraId="61460597">
      <w:pPr>
        <w:spacing w:line="16827" w:lineRule="exact"/>
      </w:pPr>
      <w:r>
        <w:rPr>
          <w:position w:val="-336"/>
        </w:rPr>
        <w:drawing>
          <wp:inline distT="0" distB="0" distL="0" distR="0">
            <wp:extent cx="7439660" cy="10685145"/>
            <wp:effectExtent l="0" t="0" r="8890" b="1905"/>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36"/>
                    <a:stretch>
                      <a:fillRect/>
                    </a:stretch>
                  </pic:blipFill>
                  <pic:spPr>
                    <a:xfrm>
                      <a:off x="0" y="0"/>
                      <a:ext cx="7439954" cy="10685298"/>
                    </a:xfrm>
                    <a:prstGeom prst="rect">
                      <a:avLst/>
                    </a:prstGeom>
                  </pic:spPr>
                </pic:pic>
              </a:graphicData>
            </a:graphic>
          </wp:inline>
        </w:drawing>
      </w:r>
    </w:p>
    <w:p w14:paraId="04FABFFF">
      <w:pPr>
        <w:spacing w:line="16827" w:lineRule="exact"/>
        <w:sectPr>
          <w:pgSz w:w="11900" w:h="16840"/>
          <w:pgMar w:top="1" w:right="91" w:bottom="1" w:left="91" w:header="0" w:footer="0" w:gutter="0"/>
          <w:cols w:space="720" w:num="1"/>
        </w:sectPr>
      </w:pPr>
    </w:p>
    <w:p w14:paraId="306DA061">
      <w:pPr>
        <w:spacing w:line="16827" w:lineRule="exact"/>
      </w:pPr>
      <w:r>
        <w:rPr>
          <w:position w:val="-336"/>
        </w:rPr>
        <w:drawing>
          <wp:inline distT="0" distB="0" distL="0" distR="0">
            <wp:extent cx="6873875" cy="10685145"/>
            <wp:effectExtent l="0" t="0" r="3175" b="1905"/>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37"/>
                    <a:stretch>
                      <a:fillRect/>
                    </a:stretch>
                  </pic:blipFill>
                  <pic:spPr>
                    <a:xfrm>
                      <a:off x="0" y="0"/>
                      <a:ext cx="6874328" cy="10685298"/>
                    </a:xfrm>
                    <a:prstGeom prst="rect">
                      <a:avLst/>
                    </a:prstGeom>
                  </pic:spPr>
                </pic:pic>
              </a:graphicData>
            </a:graphic>
          </wp:inline>
        </w:drawing>
      </w:r>
    </w:p>
    <w:p w14:paraId="1D0F0DB7">
      <w:pPr>
        <w:spacing w:line="16827" w:lineRule="exact"/>
        <w:sectPr>
          <w:pgSz w:w="11900" w:h="16840"/>
          <w:pgMar w:top="1" w:right="537" w:bottom="1" w:left="537" w:header="0" w:footer="0" w:gutter="0"/>
          <w:cols w:space="720" w:num="1"/>
        </w:sectPr>
      </w:pPr>
    </w:p>
    <w:p w14:paraId="288C2788">
      <w:pPr>
        <w:spacing w:line="16827" w:lineRule="exact"/>
      </w:pPr>
      <w:r>
        <w:rPr>
          <w:position w:val="-336"/>
        </w:rPr>
        <w:drawing>
          <wp:inline distT="0" distB="0" distL="0" distR="0">
            <wp:extent cx="7036435" cy="10685145"/>
            <wp:effectExtent l="0" t="0" r="12065" b="1905"/>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38"/>
                    <a:stretch>
                      <a:fillRect/>
                    </a:stretch>
                  </pic:blipFill>
                  <pic:spPr>
                    <a:xfrm>
                      <a:off x="0" y="0"/>
                      <a:ext cx="7036875" cy="10685298"/>
                    </a:xfrm>
                    <a:prstGeom prst="rect">
                      <a:avLst/>
                    </a:prstGeom>
                  </pic:spPr>
                </pic:pic>
              </a:graphicData>
            </a:graphic>
          </wp:inline>
        </w:drawing>
      </w:r>
    </w:p>
    <w:p w14:paraId="421F6B13">
      <w:pPr>
        <w:spacing w:line="16827" w:lineRule="exact"/>
        <w:sectPr>
          <w:pgSz w:w="11900" w:h="16840"/>
          <w:pgMar w:top="1" w:right="409" w:bottom="1" w:left="409" w:header="0" w:footer="0" w:gutter="0"/>
          <w:cols w:space="720" w:num="1"/>
        </w:sectPr>
      </w:pPr>
    </w:p>
    <w:p w14:paraId="0073F556">
      <w:pPr>
        <w:spacing w:line="16827" w:lineRule="exact"/>
      </w:pPr>
      <w:r>
        <w:rPr>
          <w:position w:val="-336"/>
        </w:rPr>
        <w:drawing>
          <wp:inline distT="0" distB="0" distL="0" distR="0">
            <wp:extent cx="7380605" cy="10685145"/>
            <wp:effectExtent l="0" t="0" r="10795" b="1905"/>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39"/>
                    <a:stretch>
                      <a:fillRect/>
                    </a:stretch>
                  </pic:blipFill>
                  <pic:spPr>
                    <a:xfrm>
                      <a:off x="0" y="0"/>
                      <a:ext cx="7380699" cy="10685298"/>
                    </a:xfrm>
                    <a:prstGeom prst="rect">
                      <a:avLst/>
                    </a:prstGeom>
                  </pic:spPr>
                </pic:pic>
              </a:graphicData>
            </a:graphic>
          </wp:inline>
        </w:drawing>
      </w:r>
    </w:p>
    <w:p w14:paraId="1A8C4CF7">
      <w:pPr>
        <w:spacing w:line="16827" w:lineRule="exact"/>
        <w:sectPr>
          <w:pgSz w:w="11900" w:h="16840"/>
          <w:pgMar w:top="1" w:right="138" w:bottom="1" w:left="138" w:header="0" w:footer="0" w:gutter="0"/>
          <w:cols w:space="720" w:num="1"/>
        </w:sectPr>
      </w:pPr>
    </w:p>
    <w:p w14:paraId="40064DF3">
      <w:pPr>
        <w:spacing w:line="16827" w:lineRule="exact"/>
      </w:pPr>
      <w:r>
        <w:rPr>
          <w:position w:val="-336"/>
        </w:rPr>
        <w:drawing>
          <wp:inline distT="0" distB="0" distL="0" distR="0">
            <wp:extent cx="7339965" cy="10685145"/>
            <wp:effectExtent l="0" t="0" r="13335" b="1905"/>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40"/>
                    <a:stretch>
                      <a:fillRect/>
                    </a:stretch>
                  </pic:blipFill>
                  <pic:spPr>
                    <a:xfrm>
                      <a:off x="0" y="0"/>
                      <a:ext cx="7340282" cy="10685298"/>
                    </a:xfrm>
                    <a:prstGeom prst="rect">
                      <a:avLst/>
                    </a:prstGeom>
                  </pic:spPr>
                </pic:pic>
              </a:graphicData>
            </a:graphic>
          </wp:inline>
        </w:drawing>
      </w:r>
    </w:p>
    <w:p w14:paraId="4FBF4C3D">
      <w:pPr>
        <w:spacing w:line="16827" w:lineRule="exact"/>
        <w:sectPr>
          <w:pgSz w:w="11900" w:h="16840"/>
          <w:pgMar w:top="1" w:right="170" w:bottom="1" w:left="170" w:header="0" w:footer="0" w:gutter="0"/>
          <w:cols w:space="720" w:num="1"/>
        </w:sectPr>
      </w:pPr>
    </w:p>
    <w:p w14:paraId="67415A5F">
      <w:pPr>
        <w:spacing w:line="16827" w:lineRule="exact"/>
      </w:pPr>
      <w:r>
        <w:rPr>
          <w:position w:val="-336"/>
        </w:rPr>
        <w:drawing>
          <wp:inline distT="0" distB="0" distL="0" distR="0">
            <wp:extent cx="6969760" cy="10685145"/>
            <wp:effectExtent l="0" t="0" r="2540" b="1905"/>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41"/>
                    <a:stretch>
                      <a:fillRect/>
                    </a:stretch>
                  </pic:blipFill>
                  <pic:spPr>
                    <a:xfrm>
                      <a:off x="0" y="0"/>
                      <a:ext cx="6969805" cy="10685298"/>
                    </a:xfrm>
                    <a:prstGeom prst="rect">
                      <a:avLst/>
                    </a:prstGeom>
                  </pic:spPr>
                </pic:pic>
              </a:graphicData>
            </a:graphic>
          </wp:inline>
        </w:drawing>
      </w:r>
    </w:p>
    <w:p w14:paraId="35D09252">
      <w:pPr>
        <w:spacing w:line="16827" w:lineRule="exact"/>
        <w:sectPr>
          <w:pgSz w:w="11900" w:h="16840"/>
          <w:pgMar w:top="1" w:right="461" w:bottom="1" w:left="461" w:header="0" w:footer="0" w:gutter="0"/>
          <w:cols w:space="720" w:num="1"/>
        </w:sectPr>
      </w:pPr>
    </w:p>
    <w:p w14:paraId="48AE075B">
      <w:pPr>
        <w:spacing w:line="16827" w:lineRule="exact"/>
      </w:pPr>
      <w:r>
        <w:rPr>
          <w:position w:val="-336"/>
        </w:rPr>
        <w:drawing>
          <wp:inline distT="0" distB="0" distL="0" distR="0">
            <wp:extent cx="6967220" cy="10685145"/>
            <wp:effectExtent l="0" t="0" r="5080" b="1905"/>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42"/>
                    <a:stretch>
                      <a:fillRect/>
                    </a:stretch>
                  </pic:blipFill>
                  <pic:spPr>
                    <a:xfrm>
                      <a:off x="0" y="0"/>
                      <a:ext cx="6967743" cy="10685298"/>
                    </a:xfrm>
                    <a:prstGeom prst="rect">
                      <a:avLst/>
                    </a:prstGeom>
                  </pic:spPr>
                </pic:pic>
              </a:graphicData>
            </a:graphic>
          </wp:inline>
        </w:drawing>
      </w:r>
    </w:p>
    <w:p w14:paraId="090EBC50">
      <w:pPr>
        <w:spacing w:line="16827" w:lineRule="exact"/>
        <w:sectPr>
          <w:pgSz w:w="11900" w:h="16840"/>
          <w:pgMar w:top="1" w:right="463" w:bottom="1" w:left="463" w:header="0" w:footer="0" w:gutter="0"/>
          <w:cols w:space="720" w:num="1"/>
        </w:sectPr>
      </w:pPr>
    </w:p>
    <w:p w14:paraId="12ECB7FA">
      <w:pPr>
        <w:spacing w:line="218" w:lineRule="auto"/>
        <w:ind w:left="148"/>
        <w:rPr>
          <w:rFonts w:hint="eastAsia" w:ascii="宋体" w:hAnsi="宋体" w:eastAsia="宋体" w:cs="宋体"/>
          <w:sz w:val="24"/>
          <w:szCs w:val="24"/>
        </w:rPr>
        <w:sectPr>
          <w:headerReference r:id="rId6" w:type="default"/>
          <w:pgSz w:w="11909" w:h="16849"/>
          <w:pgMar w:top="55" w:right="0" w:bottom="400" w:left="0" w:header="0" w:footer="0" w:gutter="0"/>
          <w:cols w:space="720" w:num="1"/>
        </w:sectPr>
      </w:pPr>
    </w:p>
    <w:p w14:paraId="3788D536">
      <w:pPr>
        <w:spacing w:line="16835" w:lineRule="exact"/>
      </w:pPr>
      <w:r>
        <w:rPr>
          <w:position w:val="-336"/>
        </w:rPr>
        <w:drawing>
          <wp:inline distT="0" distB="0" distL="0" distR="0">
            <wp:extent cx="7561580" cy="10690225"/>
            <wp:effectExtent l="0" t="0" r="1270" b="15875"/>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43"/>
                    <a:stretch>
                      <a:fillRect/>
                    </a:stretch>
                  </pic:blipFill>
                  <pic:spPr>
                    <a:xfrm>
                      <a:off x="0" y="0"/>
                      <a:ext cx="7562088" cy="10690378"/>
                    </a:xfrm>
                    <a:prstGeom prst="rect">
                      <a:avLst/>
                    </a:prstGeom>
                  </pic:spPr>
                </pic:pic>
              </a:graphicData>
            </a:graphic>
          </wp:inline>
        </w:drawing>
      </w:r>
    </w:p>
    <w:p w14:paraId="1411098C">
      <w:pPr>
        <w:spacing w:line="16835" w:lineRule="exact"/>
        <w:sectPr>
          <w:headerReference r:id="rId7" w:type="default"/>
          <w:pgSz w:w="11909" w:h="16849"/>
          <w:pgMar w:top="1" w:right="0" w:bottom="1" w:left="0" w:header="0" w:footer="0" w:gutter="0"/>
          <w:cols w:space="720" w:num="1"/>
        </w:sectPr>
      </w:pPr>
    </w:p>
    <w:p w14:paraId="3F111FA0">
      <w:pPr>
        <w:spacing w:line="16835" w:lineRule="exact"/>
      </w:pPr>
      <w:r>
        <w:rPr>
          <w:position w:val="-336"/>
        </w:rPr>
        <w:drawing>
          <wp:inline distT="0" distB="0" distL="0" distR="0">
            <wp:extent cx="7561580" cy="10690225"/>
            <wp:effectExtent l="0" t="0" r="1270" b="15875"/>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44"/>
                    <a:stretch>
                      <a:fillRect/>
                    </a:stretch>
                  </pic:blipFill>
                  <pic:spPr>
                    <a:xfrm>
                      <a:off x="0" y="0"/>
                      <a:ext cx="7562088" cy="10690378"/>
                    </a:xfrm>
                    <a:prstGeom prst="rect">
                      <a:avLst/>
                    </a:prstGeom>
                  </pic:spPr>
                </pic:pic>
              </a:graphicData>
            </a:graphic>
          </wp:inline>
        </w:drawing>
      </w:r>
    </w:p>
    <w:p w14:paraId="73C9E840">
      <w:pPr>
        <w:spacing w:line="16835" w:lineRule="exact"/>
        <w:sectPr>
          <w:pgSz w:w="11909" w:h="16849"/>
          <w:pgMar w:top="1" w:right="0" w:bottom="1" w:left="0" w:header="0" w:footer="0" w:gutter="0"/>
          <w:cols w:space="720" w:num="1"/>
        </w:sectPr>
      </w:pPr>
    </w:p>
    <w:p w14:paraId="72BC95E4">
      <w:pPr>
        <w:spacing w:line="16835" w:lineRule="exact"/>
      </w:pPr>
      <w:r>
        <w:rPr>
          <w:position w:val="-336"/>
        </w:rPr>
        <w:drawing>
          <wp:inline distT="0" distB="0" distL="0" distR="0">
            <wp:extent cx="7561580" cy="10690225"/>
            <wp:effectExtent l="0" t="0" r="1270" b="15875"/>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45"/>
                    <a:stretch>
                      <a:fillRect/>
                    </a:stretch>
                  </pic:blipFill>
                  <pic:spPr>
                    <a:xfrm>
                      <a:off x="0" y="0"/>
                      <a:ext cx="7562088" cy="10690378"/>
                    </a:xfrm>
                    <a:prstGeom prst="rect">
                      <a:avLst/>
                    </a:prstGeom>
                  </pic:spPr>
                </pic:pic>
              </a:graphicData>
            </a:graphic>
          </wp:inline>
        </w:drawing>
      </w:r>
    </w:p>
    <w:p w14:paraId="0F04AB63">
      <w:pPr>
        <w:spacing w:line="16835" w:lineRule="exact"/>
        <w:sectPr>
          <w:pgSz w:w="11909" w:h="16849"/>
          <w:pgMar w:top="1" w:right="0" w:bottom="1" w:left="0" w:header="0" w:footer="0" w:gutter="0"/>
          <w:cols w:space="720" w:num="1"/>
        </w:sectPr>
      </w:pPr>
    </w:p>
    <w:p w14:paraId="772A7D9E">
      <w:pPr>
        <w:spacing w:line="16835" w:lineRule="exact"/>
      </w:pPr>
      <w:r>
        <w:rPr>
          <w:position w:val="-336"/>
        </w:rPr>
        <w:drawing>
          <wp:inline distT="0" distB="0" distL="0" distR="0">
            <wp:extent cx="7561580" cy="10690225"/>
            <wp:effectExtent l="0" t="0" r="1270" b="15875"/>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46"/>
                    <a:stretch>
                      <a:fillRect/>
                    </a:stretch>
                  </pic:blipFill>
                  <pic:spPr>
                    <a:xfrm>
                      <a:off x="0" y="0"/>
                      <a:ext cx="7562088" cy="10690378"/>
                    </a:xfrm>
                    <a:prstGeom prst="rect">
                      <a:avLst/>
                    </a:prstGeom>
                  </pic:spPr>
                </pic:pic>
              </a:graphicData>
            </a:graphic>
          </wp:inline>
        </w:drawing>
      </w:r>
    </w:p>
    <w:p w14:paraId="166D43C3">
      <w:pPr>
        <w:spacing w:line="16835" w:lineRule="exact"/>
        <w:sectPr>
          <w:pgSz w:w="11909" w:h="16849"/>
          <w:pgMar w:top="1" w:right="0" w:bottom="1" w:left="0" w:header="0" w:footer="0" w:gutter="0"/>
          <w:cols w:space="720" w:num="1"/>
        </w:sectPr>
      </w:pPr>
    </w:p>
    <w:p w14:paraId="33FABF7D">
      <w:pPr>
        <w:spacing w:line="16835" w:lineRule="exact"/>
      </w:pPr>
      <w:r>
        <w:rPr>
          <w:position w:val="-336"/>
        </w:rPr>
        <w:drawing>
          <wp:inline distT="0" distB="0" distL="0" distR="0">
            <wp:extent cx="7561580" cy="10690225"/>
            <wp:effectExtent l="0" t="0" r="1270" b="15875"/>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47"/>
                    <a:stretch>
                      <a:fillRect/>
                    </a:stretch>
                  </pic:blipFill>
                  <pic:spPr>
                    <a:xfrm>
                      <a:off x="0" y="0"/>
                      <a:ext cx="7562088" cy="10690378"/>
                    </a:xfrm>
                    <a:prstGeom prst="rect">
                      <a:avLst/>
                    </a:prstGeom>
                  </pic:spPr>
                </pic:pic>
              </a:graphicData>
            </a:graphic>
          </wp:inline>
        </w:drawing>
      </w:r>
    </w:p>
    <w:p w14:paraId="432C9284">
      <w:pPr>
        <w:spacing w:line="16835" w:lineRule="exact"/>
        <w:sectPr>
          <w:pgSz w:w="11909" w:h="16849"/>
          <w:pgMar w:top="1" w:right="0" w:bottom="1" w:left="0" w:header="0" w:footer="0" w:gutter="0"/>
          <w:cols w:space="720" w:num="1"/>
        </w:sectPr>
      </w:pPr>
    </w:p>
    <w:p w14:paraId="13EDFDF5">
      <w:pPr>
        <w:spacing w:line="16835" w:lineRule="exact"/>
      </w:pPr>
      <w:r>
        <w:rPr>
          <w:position w:val="-336"/>
        </w:rPr>
        <w:drawing>
          <wp:inline distT="0" distB="0" distL="0" distR="0">
            <wp:extent cx="7561580" cy="10690225"/>
            <wp:effectExtent l="0" t="0" r="1270" b="15875"/>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48"/>
                    <a:stretch>
                      <a:fillRect/>
                    </a:stretch>
                  </pic:blipFill>
                  <pic:spPr>
                    <a:xfrm>
                      <a:off x="0" y="0"/>
                      <a:ext cx="7562088" cy="10690378"/>
                    </a:xfrm>
                    <a:prstGeom prst="rect">
                      <a:avLst/>
                    </a:prstGeom>
                  </pic:spPr>
                </pic:pic>
              </a:graphicData>
            </a:graphic>
          </wp:inline>
        </w:drawing>
      </w:r>
    </w:p>
    <w:p w14:paraId="71056910">
      <w:pPr>
        <w:spacing w:line="16835" w:lineRule="exact"/>
        <w:sectPr>
          <w:pgSz w:w="11909" w:h="16849"/>
          <w:pgMar w:top="1" w:right="0" w:bottom="1" w:left="0" w:header="0" w:footer="0" w:gutter="0"/>
          <w:cols w:space="720" w:num="1"/>
        </w:sectPr>
      </w:pPr>
    </w:p>
    <w:p w14:paraId="3993B4D9">
      <w:pPr>
        <w:spacing w:line="16835" w:lineRule="exact"/>
      </w:pPr>
      <w:r>
        <w:rPr>
          <w:position w:val="-336"/>
        </w:rPr>
        <w:drawing>
          <wp:inline distT="0" distB="0" distL="0" distR="0">
            <wp:extent cx="7561580" cy="10690225"/>
            <wp:effectExtent l="0" t="0" r="1270" b="15875"/>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49"/>
                    <a:stretch>
                      <a:fillRect/>
                    </a:stretch>
                  </pic:blipFill>
                  <pic:spPr>
                    <a:xfrm>
                      <a:off x="0" y="0"/>
                      <a:ext cx="7562088" cy="10690378"/>
                    </a:xfrm>
                    <a:prstGeom prst="rect">
                      <a:avLst/>
                    </a:prstGeom>
                  </pic:spPr>
                </pic:pic>
              </a:graphicData>
            </a:graphic>
          </wp:inline>
        </w:drawing>
      </w:r>
    </w:p>
    <w:p w14:paraId="6D5C8A40">
      <w:pPr>
        <w:spacing w:line="16835" w:lineRule="exact"/>
        <w:sectPr>
          <w:pgSz w:w="11909" w:h="16849"/>
          <w:pgMar w:top="1" w:right="0" w:bottom="1" w:left="0" w:header="0" w:footer="0" w:gutter="0"/>
          <w:cols w:space="720" w:num="1"/>
        </w:sectPr>
      </w:pPr>
    </w:p>
    <w:p w14:paraId="0C240352">
      <w:pPr>
        <w:spacing w:line="16835" w:lineRule="exact"/>
      </w:pPr>
      <w:r>
        <w:rPr>
          <w:position w:val="-336"/>
        </w:rPr>
        <w:drawing>
          <wp:inline distT="0" distB="0" distL="0" distR="0">
            <wp:extent cx="7561580" cy="10690225"/>
            <wp:effectExtent l="0" t="0" r="1270" b="15875"/>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50"/>
                    <a:stretch>
                      <a:fillRect/>
                    </a:stretch>
                  </pic:blipFill>
                  <pic:spPr>
                    <a:xfrm>
                      <a:off x="0" y="0"/>
                      <a:ext cx="7562088" cy="10690378"/>
                    </a:xfrm>
                    <a:prstGeom prst="rect">
                      <a:avLst/>
                    </a:prstGeom>
                  </pic:spPr>
                </pic:pic>
              </a:graphicData>
            </a:graphic>
          </wp:inline>
        </w:drawing>
      </w:r>
    </w:p>
    <w:p w14:paraId="211873D3">
      <w:pPr>
        <w:spacing w:line="16835" w:lineRule="exact"/>
        <w:sectPr>
          <w:pgSz w:w="11909" w:h="16849"/>
          <w:pgMar w:top="1" w:right="0" w:bottom="1" w:left="0" w:header="0" w:footer="0" w:gutter="0"/>
          <w:cols w:space="720" w:num="1"/>
        </w:sectPr>
      </w:pPr>
    </w:p>
    <w:p w14:paraId="1375FEB8">
      <w:pPr>
        <w:spacing w:line="16835" w:lineRule="exact"/>
      </w:pPr>
      <w:r>
        <w:rPr>
          <w:position w:val="-336"/>
        </w:rPr>
        <w:drawing>
          <wp:inline distT="0" distB="0" distL="0" distR="0">
            <wp:extent cx="7561580" cy="10690225"/>
            <wp:effectExtent l="0" t="0" r="1270" b="15875"/>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51"/>
                    <a:stretch>
                      <a:fillRect/>
                    </a:stretch>
                  </pic:blipFill>
                  <pic:spPr>
                    <a:xfrm>
                      <a:off x="0" y="0"/>
                      <a:ext cx="7562088" cy="10690378"/>
                    </a:xfrm>
                    <a:prstGeom prst="rect">
                      <a:avLst/>
                    </a:prstGeom>
                  </pic:spPr>
                </pic:pic>
              </a:graphicData>
            </a:graphic>
          </wp:inline>
        </w:drawing>
      </w:r>
    </w:p>
    <w:p w14:paraId="37B22949">
      <w:pPr>
        <w:spacing w:line="16835" w:lineRule="exact"/>
        <w:sectPr>
          <w:pgSz w:w="11909" w:h="16849"/>
          <w:pgMar w:top="1" w:right="0" w:bottom="1" w:left="0" w:header="0" w:footer="0" w:gutter="0"/>
          <w:cols w:space="720" w:num="1"/>
        </w:sectPr>
      </w:pPr>
    </w:p>
    <w:p w14:paraId="5F1A2996">
      <w:pPr>
        <w:spacing w:line="16835" w:lineRule="exact"/>
      </w:pPr>
      <w:r>
        <w:rPr>
          <w:position w:val="-336"/>
        </w:rPr>
        <w:drawing>
          <wp:inline distT="0" distB="0" distL="0" distR="0">
            <wp:extent cx="7561580" cy="10690225"/>
            <wp:effectExtent l="0" t="0" r="1270" b="15875"/>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52"/>
                    <a:stretch>
                      <a:fillRect/>
                    </a:stretch>
                  </pic:blipFill>
                  <pic:spPr>
                    <a:xfrm>
                      <a:off x="0" y="0"/>
                      <a:ext cx="7562088" cy="10690378"/>
                    </a:xfrm>
                    <a:prstGeom prst="rect">
                      <a:avLst/>
                    </a:prstGeom>
                  </pic:spPr>
                </pic:pic>
              </a:graphicData>
            </a:graphic>
          </wp:inline>
        </w:drawing>
      </w:r>
    </w:p>
    <w:p w14:paraId="40265B9C">
      <w:pPr>
        <w:spacing w:line="16835" w:lineRule="exact"/>
        <w:sectPr>
          <w:pgSz w:w="11909" w:h="16849"/>
          <w:pgMar w:top="1" w:right="0" w:bottom="1" w:left="0" w:header="0" w:footer="0" w:gutter="0"/>
          <w:cols w:space="720" w:num="1"/>
        </w:sectPr>
      </w:pPr>
    </w:p>
    <w:p w14:paraId="738C7ECE">
      <w:pPr>
        <w:spacing w:line="16835" w:lineRule="exact"/>
      </w:pPr>
      <w:r>
        <w:rPr>
          <w:position w:val="-336"/>
        </w:rPr>
        <w:drawing>
          <wp:inline distT="0" distB="0" distL="0" distR="0">
            <wp:extent cx="7561580" cy="10690225"/>
            <wp:effectExtent l="0" t="0" r="1270" b="15875"/>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53"/>
                    <a:stretch>
                      <a:fillRect/>
                    </a:stretch>
                  </pic:blipFill>
                  <pic:spPr>
                    <a:xfrm>
                      <a:off x="0" y="0"/>
                      <a:ext cx="7562088" cy="10690378"/>
                    </a:xfrm>
                    <a:prstGeom prst="rect">
                      <a:avLst/>
                    </a:prstGeom>
                  </pic:spPr>
                </pic:pic>
              </a:graphicData>
            </a:graphic>
          </wp:inline>
        </w:drawing>
      </w:r>
    </w:p>
    <w:p w14:paraId="2421F666">
      <w:pPr>
        <w:spacing w:line="16835" w:lineRule="exact"/>
        <w:sectPr>
          <w:pgSz w:w="11909" w:h="16849"/>
          <w:pgMar w:top="1" w:right="0" w:bottom="1" w:left="0" w:header="0" w:footer="0" w:gutter="0"/>
          <w:cols w:space="720" w:num="1"/>
        </w:sectPr>
      </w:pPr>
    </w:p>
    <w:p w14:paraId="2443E928">
      <w:pPr>
        <w:spacing w:line="16835" w:lineRule="exact"/>
      </w:pPr>
      <w:r>
        <w:rPr>
          <w:position w:val="-336"/>
        </w:rPr>
        <w:drawing>
          <wp:inline distT="0" distB="0" distL="0" distR="0">
            <wp:extent cx="7561580" cy="10690225"/>
            <wp:effectExtent l="0" t="0" r="1270" b="15875"/>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54"/>
                    <a:stretch>
                      <a:fillRect/>
                    </a:stretch>
                  </pic:blipFill>
                  <pic:spPr>
                    <a:xfrm>
                      <a:off x="0" y="0"/>
                      <a:ext cx="7562088" cy="10690378"/>
                    </a:xfrm>
                    <a:prstGeom prst="rect">
                      <a:avLst/>
                    </a:prstGeom>
                  </pic:spPr>
                </pic:pic>
              </a:graphicData>
            </a:graphic>
          </wp:inline>
        </w:drawing>
      </w:r>
    </w:p>
    <w:p w14:paraId="4AA2F5D5">
      <w:pPr>
        <w:spacing w:line="16835" w:lineRule="exact"/>
        <w:sectPr>
          <w:pgSz w:w="11909" w:h="16849"/>
          <w:pgMar w:top="1" w:right="0" w:bottom="1" w:left="0" w:header="0" w:footer="0" w:gutter="0"/>
          <w:cols w:space="720" w:num="1"/>
        </w:sectPr>
      </w:pPr>
    </w:p>
    <w:p w14:paraId="2E7E8109">
      <w:pPr>
        <w:spacing w:line="16835" w:lineRule="exact"/>
      </w:pPr>
      <w:r>
        <w:rPr>
          <w:position w:val="-336"/>
        </w:rPr>
        <w:drawing>
          <wp:inline distT="0" distB="0" distL="0" distR="0">
            <wp:extent cx="7561580" cy="10690225"/>
            <wp:effectExtent l="0" t="0" r="1270" b="15875"/>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55"/>
                    <a:stretch>
                      <a:fillRect/>
                    </a:stretch>
                  </pic:blipFill>
                  <pic:spPr>
                    <a:xfrm>
                      <a:off x="0" y="0"/>
                      <a:ext cx="7562088" cy="10690378"/>
                    </a:xfrm>
                    <a:prstGeom prst="rect">
                      <a:avLst/>
                    </a:prstGeom>
                  </pic:spPr>
                </pic:pic>
              </a:graphicData>
            </a:graphic>
          </wp:inline>
        </w:drawing>
      </w:r>
    </w:p>
    <w:p w14:paraId="1844666A">
      <w:pPr>
        <w:spacing w:line="16835" w:lineRule="exact"/>
        <w:sectPr>
          <w:pgSz w:w="11909" w:h="16849"/>
          <w:pgMar w:top="1" w:right="0" w:bottom="1" w:left="0" w:header="0" w:footer="0" w:gutter="0"/>
          <w:cols w:space="720" w:num="1"/>
        </w:sectPr>
      </w:pPr>
    </w:p>
    <w:p w14:paraId="3DEA6DC5">
      <w:pPr>
        <w:spacing w:line="16835" w:lineRule="exact"/>
      </w:pPr>
      <w:r>
        <w:rPr>
          <w:position w:val="-336"/>
        </w:rPr>
        <w:drawing>
          <wp:inline distT="0" distB="0" distL="0" distR="0">
            <wp:extent cx="7561580" cy="10690225"/>
            <wp:effectExtent l="0" t="0" r="1270" b="15875"/>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56"/>
                    <a:stretch>
                      <a:fillRect/>
                    </a:stretch>
                  </pic:blipFill>
                  <pic:spPr>
                    <a:xfrm>
                      <a:off x="0" y="0"/>
                      <a:ext cx="7562088" cy="10690378"/>
                    </a:xfrm>
                    <a:prstGeom prst="rect">
                      <a:avLst/>
                    </a:prstGeom>
                  </pic:spPr>
                </pic:pic>
              </a:graphicData>
            </a:graphic>
          </wp:inline>
        </w:drawing>
      </w:r>
    </w:p>
    <w:p w14:paraId="293030FA">
      <w:pPr>
        <w:spacing w:line="16835" w:lineRule="exact"/>
        <w:sectPr>
          <w:pgSz w:w="11909" w:h="16849"/>
          <w:pgMar w:top="1" w:right="0" w:bottom="1" w:left="0" w:header="0" w:footer="0" w:gutter="0"/>
          <w:cols w:space="720" w:num="1"/>
        </w:sectPr>
      </w:pPr>
    </w:p>
    <w:p w14:paraId="1DA469B6">
      <w:pPr>
        <w:spacing w:line="16835" w:lineRule="exact"/>
      </w:pPr>
      <w:r>
        <w:rPr>
          <w:position w:val="-336"/>
        </w:rPr>
        <w:drawing>
          <wp:inline distT="0" distB="0" distL="0" distR="0">
            <wp:extent cx="7561580" cy="10690225"/>
            <wp:effectExtent l="0" t="0" r="1270" b="15875"/>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57"/>
                    <a:stretch>
                      <a:fillRect/>
                    </a:stretch>
                  </pic:blipFill>
                  <pic:spPr>
                    <a:xfrm>
                      <a:off x="0" y="0"/>
                      <a:ext cx="7562088" cy="10690378"/>
                    </a:xfrm>
                    <a:prstGeom prst="rect">
                      <a:avLst/>
                    </a:prstGeom>
                  </pic:spPr>
                </pic:pic>
              </a:graphicData>
            </a:graphic>
          </wp:inline>
        </w:drawing>
      </w:r>
    </w:p>
    <w:p w14:paraId="79AD4EEF">
      <w:pPr>
        <w:spacing w:line="16835" w:lineRule="exact"/>
        <w:sectPr>
          <w:pgSz w:w="11909" w:h="16849"/>
          <w:pgMar w:top="1" w:right="0" w:bottom="1" w:left="0" w:header="0" w:footer="0" w:gutter="0"/>
          <w:cols w:space="720" w:num="1"/>
        </w:sectPr>
      </w:pPr>
    </w:p>
    <w:p w14:paraId="3FE927B1">
      <w:pPr>
        <w:spacing w:line="16835" w:lineRule="exact"/>
      </w:pPr>
      <w:r>
        <w:rPr>
          <w:position w:val="-336"/>
        </w:rPr>
        <w:drawing>
          <wp:inline distT="0" distB="0" distL="0" distR="0">
            <wp:extent cx="7561580" cy="10690225"/>
            <wp:effectExtent l="0" t="0" r="1270" b="15875"/>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58"/>
                    <a:stretch>
                      <a:fillRect/>
                    </a:stretch>
                  </pic:blipFill>
                  <pic:spPr>
                    <a:xfrm>
                      <a:off x="0" y="0"/>
                      <a:ext cx="7562088" cy="10690378"/>
                    </a:xfrm>
                    <a:prstGeom prst="rect">
                      <a:avLst/>
                    </a:prstGeom>
                  </pic:spPr>
                </pic:pic>
              </a:graphicData>
            </a:graphic>
          </wp:inline>
        </w:drawing>
      </w:r>
    </w:p>
    <w:p w14:paraId="192516A7">
      <w:pPr>
        <w:spacing w:line="16835" w:lineRule="exact"/>
        <w:sectPr>
          <w:pgSz w:w="11909" w:h="16849"/>
          <w:pgMar w:top="1" w:right="0" w:bottom="1" w:left="0" w:header="0" w:footer="0" w:gutter="0"/>
          <w:cols w:space="720" w:num="1"/>
        </w:sectPr>
      </w:pPr>
    </w:p>
    <w:p w14:paraId="6E281B8B">
      <w:pPr>
        <w:spacing w:line="16835" w:lineRule="exact"/>
      </w:pPr>
      <w:r>
        <w:rPr>
          <w:position w:val="-336"/>
        </w:rPr>
        <w:drawing>
          <wp:inline distT="0" distB="0" distL="0" distR="0">
            <wp:extent cx="7561580" cy="10690225"/>
            <wp:effectExtent l="0" t="0" r="1270" b="15875"/>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59"/>
                    <a:stretch>
                      <a:fillRect/>
                    </a:stretch>
                  </pic:blipFill>
                  <pic:spPr>
                    <a:xfrm>
                      <a:off x="0" y="0"/>
                      <a:ext cx="7562088" cy="10690378"/>
                    </a:xfrm>
                    <a:prstGeom prst="rect">
                      <a:avLst/>
                    </a:prstGeom>
                  </pic:spPr>
                </pic:pic>
              </a:graphicData>
            </a:graphic>
          </wp:inline>
        </w:drawing>
      </w:r>
    </w:p>
    <w:p w14:paraId="4C9BFD29">
      <w:pPr>
        <w:spacing w:line="16835" w:lineRule="exact"/>
        <w:sectPr>
          <w:pgSz w:w="11909" w:h="16849"/>
          <w:pgMar w:top="1" w:right="0" w:bottom="1" w:left="0" w:header="0" w:footer="0" w:gutter="0"/>
          <w:cols w:space="720" w:num="1"/>
        </w:sectPr>
      </w:pPr>
    </w:p>
    <w:p w14:paraId="75149F85">
      <w:pPr>
        <w:spacing w:line="16835" w:lineRule="exact"/>
      </w:pPr>
      <w:r>
        <w:rPr>
          <w:position w:val="-336"/>
        </w:rPr>
        <w:drawing>
          <wp:inline distT="0" distB="0" distL="0" distR="0">
            <wp:extent cx="7561580" cy="10690225"/>
            <wp:effectExtent l="0" t="0" r="1270" b="15875"/>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60"/>
                    <a:stretch>
                      <a:fillRect/>
                    </a:stretch>
                  </pic:blipFill>
                  <pic:spPr>
                    <a:xfrm>
                      <a:off x="0" y="0"/>
                      <a:ext cx="7562088" cy="10690378"/>
                    </a:xfrm>
                    <a:prstGeom prst="rect">
                      <a:avLst/>
                    </a:prstGeom>
                  </pic:spPr>
                </pic:pic>
              </a:graphicData>
            </a:graphic>
          </wp:inline>
        </w:drawing>
      </w:r>
    </w:p>
    <w:p w14:paraId="2D168477">
      <w:pPr>
        <w:spacing w:line="16835" w:lineRule="exact"/>
        <w:sectPr>
          <w:pgSz w:w="11909" w:h="16849"/>
          <w:pgMar w:top="1" w:right="0" w:bottom="1" w:left="0" w:header="0" w:footer="0" w:gutter="0"/>
          <w:cols w:space="720" w:num="1"/>
        </w:sectPr>
      </w:pPr>
    </w:p>
    <w:p w14:paraId="118052A2">
      <w:pPr>
        <w:spacing w:line="16835" w:lineRule="exact"/>
      </w:pPr>
      <w:r>
        <w:rPr>
          <w:position w:val="-336"/>
        </w:rPr>
        <w:drawing>
          <wp:inline distT="0" distB="0" distL="0" distR="0">
            <wp:extent cx="7561580" cy="10690225"/>
            <wp:effectExtent l="0" t="0" r="1270" b="15875"/>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61"/>
                    <a:stretch>
                      <a:fillRect/>
                    </a:stretch>
                  </pic:blipFill>
                  <pic:spPr>
                    <a:xfrm>
                      <a:off x="0" y="0"/>
                      <a:ext cx="7562088" cy="10690378"/>
                    </a:xfrm>
                    <a:prstGeom prst="rect">
                      <a:avLst/>
                    </a:prstGeom>
                  </pic:spPr>
                </pic:pic>
              </a:graphicData>
            </a:graphic>
          </wp:inline>
        </w:drawing>
      </w:r>
    </w:p>
    <w:p w14:paraId="1E27C271">
      <w:pPr>
        <w:rPr>
          <w:lang w:eastAsia="zh-CN"/>
        </w:rPr>
      </w:pPr>
    </w:p>
    <w:sectPr>
      <w:headerReference r:id="rId8" w:type="default"/>
      <w:footerReference r:id="rId9" w:type="default"/>
      <w:type w:val="continuous"/>
      <w:pgSz w:w="11909" w:h="16849"/>
      <w:pgMar w:top="1440" w:right="1800" w:bottom="1440" w:left="1800" w:header="0" w:footer="0" w:gutter="0"/>
      <w:cols w:space="720" w:num="1"/>
      <w:docGrid w:linePitch="286" w:charSpace="0"/>
    </w:sectPr>
  </w:body>
</w:document>
</file>

<file path=word/customizations.xml><?xml version="1.0" encoding="utf-8"?>
<wne:tcg xmlns:r="http://schemas.openxmlformats.org/officeDocument/2006/relationships" xmlns:wne="http://schemas.microsoft.com/office/word/2006/wordml">
  <wne:keymaps>
    <wne:keymap wne:kcmPrimary="0170">
      <wne:fci wne:fciName="FormattingProperties" wne:swArg="0000"/>
    </wne:keymap>
    <wne:keymap wne:kcmPrimary="0230">
      <wne:fci wne:fciName="Zoom100" wne:swArg="0000"/>
    </wne:keymap>
    <wne:keymap wne:kcmPrimary="0232">
      <wne:fci wne:fciName="SpacePara2" wne:swArg="0000"/>
    </wne:keymap>
    <wne:keymap wne:kcmPrimary="0235">
      <wne:fci wne:fciName="SpacePara15" wne:swArg="0000"/>
    </wne:keymap>
    <wne:keymap wne:kcmPrimary="02DB">
      <wne:fci wne:fciName="ShrinkFontOnePoint" wne:swArg="0000"/>
    </wne:keymap>
    <wne:keymap wne:kcmPrimary="02DD">
      <wne:fci wne:fciName="GrowFontOnePoint" wne:swArg="0000"/>
    </wne:keymap>
    <wne:keymap wne:kcmPrimary="0346">
      <wne:fci wne:fciName="Font" wne:swArg="0000"/>
    </wne:keymap>
    <wne:keymap wne:kcmPrimary="0631">
      <wne:fci wne:fciName="ApplyHeading1" wne:swArg="0000"/>
    </wne:keymap>
    <wne:keymap wne:kcmPrimary="0632">
      <wne:fci wne:fciName="ApplyHeading2" wne:swArg="0000"/>
    </wne:keymap>
    <wne:keymap wne:kcmPrimary="0633">
      <wne:fci wne:fciName="ApplyHeading3" wne:swArg="0000"/>
    </wne:keymap>
  </wne:keymap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16FC62">
    <w:pPr>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B7F4F">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576425">
    <w:pPr>
      <w:spacing w:line="14" w:lineRule="auto"/>
      <w:rPr>
        <w:sz w:val="2"/>
      </w:rPr>
    </w:pPr>
    <w:r>
      <w:drawing>
        <wp:anchor distT="0" distB="0" distL="0" distR="0" simplePos="0" relativeHeight="251659264" behindDoc="0" locked="0" layoutInCell="0" allowOverlap="1">
          <wp:simplePos x="0" y="0"/>
          <wp:positionH relativeFrom="page">
            <wp:posOffset>0</wp:posOffset>
          </wp:positionH>
          <wp:positionV relativeFrom="page">
            <wp:posOffset>0</wp:posOffset>
          </wp:positionV>
          <wp:extent cx="7547610" cy="10693400"/>
          <wp:effectExtent l="0" t="0" r="15240" b="12700"/>
          <wp:wrapNone/>
          <wp:docPr id="1" name="IM 2"/>
          <wp:cNvGraphicFramePr/>
          <a:graphic xmlns:a="http://schemas.openxmlformats.org/drawingml/2006/main">
            <a:graphicData uri="http://schemas.openxmlformats.org/drawingml/2006/picture">
              <pic:pic xmlns:pic="http://schemas.openxmlformats.org/drawingml/2006/picture">
                <pic:nvPicPr>
                  <pic:cNvPr id="1" name="IM 2"/>
                  <pic:cNvPicPr/>
                </pic:nvPicPr>
                <pic:blipFill>
                  <a:blip r:embed="rId1"/>
                  <a:stretch>
                    <a:fillRect/>
                  </a:stretch>
                </pic:blipFill>
                <pic:spPr>
                  <a:xfrm>
                    <a:off x="0" y="0"/>
                    <a:ext cx="7547640" cy="1069340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2132FA">
    <w:pPr>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38A7B">
    <w:pPr>
      <w:pStyle w:val="3"/>
      <w:spacing w:line="14" w:lineRule="auto"/>
      <w:rPr>
        <w:rFonts w:hint="eastAsia"/>
      </w:rPr>
    </w:pPr>
    <w:r>
      <w:drawing>
        <wp:anchor distT="0" distB="0" distL="0" distR="0" simplePos="0" relativeHeight="251660288" behindDoc="0" locked="0" layoutInCell="0" allowOverlap="1">
          <wp:simplePos x="0" y="0"/>
          <wp:positionH relativeFrom="page">
            <wp:posOffset>0</wp:posOffset>
          </wp:positionH>
          <wp:positionV relativeFrom="page">
            <wp:posOffset>0</wp:posOffset>
          </wp:positionV>
          <wp:extent cx="7562215" cy="10698480"/>
          <wp:effectExtent l="0" t="0" r="635" b="7620"/>
          <wp:wrapNone/>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
                  <a:stretch>
                    <a:fillRect/>
                  </a:stretch>
                </pic:blipFill>
                <pic:spPr>
                  <a:xfrm>
                    <a:off x="0" y="0"/>
                    <a:ext cx="7562088" cy="10698480"/>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3C565">
    <w:pPr>
      <w:spacing w:line="14" w:lineRule="auto"/>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6EDB8">
    <w:pPr>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displayBackgroundShape w:val="1"/>
  <w:bordersDoNotSurroundHeader w:val="1"/>
  <w:bordersDoNotSurroundFooter w:val="1"/>
  <w:documentProtection w:enforcement="0"/>
  <w:defaultTabStop w:val="420"/>
  <w:drawingGridHorizontalSpacing w:val="105"/>
  <w:drawingGridVerticalSpacing w:val="143"/>
  <w:displayHorizontalDrawingGridEvery w:val="2"/>
  <w:displayVerticalDrawingGridEvery w:val="2"/>
  <w:characterSpacingControl w:val="doNotCompress"/>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B68"/>
    <w:rsid w:val="0000663F"/>
    <w:rsid w:val="00027963"/>
    <w:rsid w:val="0003386D"/>
    <w:rsid w:val="00043454"/>
    <w:rsid w:val="00080435"/>
    <w:rsid w:val="00096CB7"/>
    <w:rsid w:val="00175EC6"/>
    <w:rsid w:val="001D5A21"/>
    <w:rsid w:val="00365632"/>
    <w:rsid w:val="00407E98"/>
    <w:rsid w:val="004B2729"/>
    <w:rsid w:val="004E0BC3"/>
    <w:rsid w:val="005851BA"/>
    <w:rsid w:val="0059163A"/>
    <w:rsid w:val="005D13BA"/>
    <w:rsid w:val="0062505C"/>
    <w:rsid w:val="00643880"/>
    <w:rsid w:val="0067528A"/>
    <w:rsid w:val="007C5D1B"/>
    <w:rsid w:val="00871F10"/>
    <w:rsid w:val="00881823"/>
    <w:rsid w:val="008867E7"/>
    <w:rsid w:val="0089396D"/>
    <w:rsid w:val="0089639F"/>
    <w:rsid w:val="008A608A"/>
    <w:rsid w:val="008E1DC4"/>
    <w:rsid w:val="00925B68"/>
    <w:rsid w:val="009917B1"/>
    <w:rsid w:val="00A260CA"/>
    <w:rsid w:val="00A37656"/>
    <w:rsid w:val="00B6684F"/>
    <w:rsid w:val="00B7521D"/>
    <w:rsid w:val="00C05E7C"/>
    <w:rsid w:val="00C4746B"/>
    <w:rsid w:val="00CF35EA"/>
    <w:rsid w:val="00CF49EC"/>
    <w:rsid w:val="00D73B81"/>
    <w:rsid w:val="00DB2E8A"/>
    <w:rsid w:val="00DB3556"/>
    <w:rsid w:val="00DB563F"/>
    <w:rsid w:val="00E409A1"/>
    <w:rsid w:val="00E60BB7"/>
    <w:rsid w:val="00ED0990"/>
    <w:rsid w:val="00EF4328"/>
    <w:rsid w:val="00F24A95"/>
    <w:rsid w:val="0E5D041C"/>
    <w:rsid w:val="12FD5221"/>
    <w:rsid w:val="16144B43"/>
    <w:rsid w:val="273049AC"/>
    <w:rsid w:val="35A57BD0"/>
    <w:rsid w:val="3FE40721"/>
    <w:rsid w:val="45FA246F"/>
    <w:rsid w:val="463D5736"/>
    <w:rsid w:val="56407B82"/>
    <w:rsid w:val="7145318B"/>
    <w:rsid w:val="71B851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Theme="minorEastAsia"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9">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7"/>
    <w:qFormat/>
    <w:uiPriority w:val="0"/>
  </w:style>
  <w:style w:type="paragraph" w:styleId="3">
    <w:name w:val="Body Text"/>
    <w:basedOn w:val="1"/>
    <w:semiHidden/>
    <w:qFormat/>
    <w:uiPriority w:val="0"/>
    <w:rPr>
      <w:rFonts w:ascii="仿宋" w:hAnsi="仿宋" w:eastAsia="仿宋" w:cs="仿宋"/>
    </w:rPr>
  </w:style>
  <w:style w:type="paragraph" w:styleId="4">
    <w:name w:val="footer"/>
    <w:basedOn w:val="1"/>
    <w:link w:val="15"/>
    <w:qFormat/>
    <w:uiPriority w:val="0"/>
    <w:pPr>
      <w:tabs>
        <w:tab w:val="center" w:pos="4153"/>
        <w:tab w:val="right" w:pos="8306"/>
      </w:tabs>
    </w:pPr>
    <w:rPr>
      <w:sz w:val="18"/>
      <w:szCs w:val="18"/>
    </w:rPr>
  </w:style>
  <w:style w:type="paragraph" w:styleId="5">
    <w:name w:val="header"/>
    <w:basedOn w:val="1"/>
    <w:link w:val="14"/>
    <w:qFormat/>
    <w:uiPriority w:val="0"/>
    <w:pPr>
      <w:tabs>
        <w:tab w:val="center" w:pos="4153"/>
        <w:tab w:val="right" w:pos="8306"/>
      </w:tabs>
      <w:jc w:val="center"/>
    </w:pPr>
    <w:rPr>
      <w:sz w:val="18"/>
      <w:szCs w:val="18"/>
    </w:rPr>
  </w:style>
  <w:style w:type="paragraph" w:styleId="6">
    <w:name w:val="annotation subject"/>
    <w:basedOn w:val="2"/>
    <w:next w:val="2"/>
    <w:link w:val="18"/>
    <w:uiPriority w:val="0"/>
    <w:rPr>
      <w:b/>
      <w:bCs/>
    </w:rPr>
  </w:style>
  <w:style w:type="table" w:styleId="8">
    <w:name w:val="Table Grid"/>
    <w:basedOn w:val="7"/>
    <w:qFormat/>
    <w:uiPriority w:val="0"/>
    <w:rPr>
      <w:rFonts w:ascii="Calibri" w:hAnsi="Calibri"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annotation reference"/>
    <w:basedOn w:val="9"/>
    <w:qFormat/>
    <w:uiPriority w:val="0"/>
    <w:rPr>
      <w:sz w:val="21"/>
      <w:szCs w:val="21"/>
    </w:rPr>
  </w:style>
  <w:style w:type="table" w:customStyle="1" w:styleId="11">
    <w:name w:val="Table Normal"/>
    <w:semiHidden/>
    <w:unhideWhenUsed/>
    <w:qFormat/>
    <w:uiPriority w:val="0"/>
    <w:tblPr>
      <w:tblCellMar>
        <w:top w:w="0" w:type="dxa"/>
        <w:left w:w="0" w:type="dxa"/>
        <w:bottom w:w="0" w:type="dxa"/>
        <w:right w:w="0" w:type="dxa"/>
      </w:tblCellMar>
    </w:tblPr>
  </w:style>
  <w:style w:type="paragraph" w:customStyle="1" w:styleId="12">
    <w:name w:val="Table Text"/>
    <w:basedOn w:val="1"/>
    <w:semiHidden/>
    <w:qFormat/>
    <w:uiPriority w:val="0"/>
    <w:rPr>
      <w:rFonts w:ascii="仿宋" w:hAnsi="仿宋" w:eastAsia="仿宋" w:cs="仿宋"/>
    </w:rPr>
  </w:style>
  <w:style w:type="paragraph" w:customStyle="1" w:styleId="13">
    <w:name w:val="修订1"/>
    <w:hidden/>
    <w:unhideWhenUsed/>
    <w:qFormat/>
    <w:uiPriority w:val="99"/>
    <w:rPr>
      <w:rFonts w:ascii="Arial" w:hAnsi="Arial" w:eastAsia="Arial" w:cs="Arial"/>
      <w:snapToGrid w:val="0"/>
      <w:color w:val="000000"/>
      <w:sz w:val="21"/>
      <w:szCs w:val="21"/>
      <w:lang w:val="en-US" w:eastAsia="en-US" w:bidi="ar-SA"/>
    </w:rPr>
  </w:style>
  <w:style w:type="character" w:customStyle="1" w:styleId="14">
    <w:name w:val="页眉 字符"/>
    <w:basedOn w:val="9"/>
    <w:link w:val="5"/>
    <w:qFormat/>
    <w:uiPriority w:val="0"/>
    <w:rPr>
      <w:rFonts w:eastAsia="Arial"/>
      <w:snapToGrid w:val="0"/>
      <w:color w:val="000000"/>
      <w:sz w:val="18"/>
      <w:szCs w:val="18"/>
      <w:lang w:eastAsia="en-US"/>
    </w:rPr>
  </w:style>
  <w:style w:type="character" w:customStyle="1" w:styleId="15">
    <w:name w:val="页脚 字符"/>
    <w:basedOn w:val="9"/>
    <w:link w:val="4"/>
    <w:qFormat/>
    <w:uiPriority w:val="0"/>
    <w:rPr>
      <w:rFonts w:eastAsia="Arial"/>
      <w:snapToGrid w:val="0"/>
      <w:color w:val="000000"/>
      <w:sz w:val="18"/>
      <w:szCs w:val="18"/>
      <w:lang w:eastAsia="en-US"/>
    </w:rPr>
  </w:style>
  <w:style w:type="paragraph" w:customStyle="1" w:styleId="16">
    <w:name w:val="Revision"/>
    <w:hidden/>
    <w:unhideWhenUsed/>
    <w:uiPriority w:val="99"/>
    <w:rPr>
      <w:rFonts w:ascii="Arial" w:hAnsi="Arial" w:eastAsia="Arial" w:cs="Arial"/>
      <w:snapToGrid w:val="0"/>
      <w:color w:val="000000"/>
      <w:sz w:val="21"/>
      <w:szCs w:val="21"/>
      <w:lang w:val="en-US" w:eastAsia="en-US" w:bidi="ar-SA"/>
    </w:rPr>
  </w:style>
  <w:style w:type="character" w:customStyle="1" w:styleId="17">
    <w:name w:val="批注文字 字符"/>
    <w:basedOn w:val="9"/>
    <w:link w:val="2"/>
    <w:qFormat/>
    <w:uiPriority w:val="0"/>
    <w:rPr>
      <w:rFonts w:eastAsia="Arial"/>
      <w:snapToGrid w:val="0"/>
      <w:color w:val="000000"/>
      <w:sz w:val="21"/>
      <w:szCs w:val="21"/>
      <w:lang w:eastAsia="en-US"/>
    </w:rPr>
  </w:style>
  <w:style w:type="character" w:customStyle="1" w:styleId="18">
    <w:name w:val="批注主题 字符"/>
    <w:basedOn w:val="17"/>
    <w:link w:val="6"/>
    <w:uiPriority w:val="0"/>
    <w:rPr>
      <w:rFonts w:eastAsia="Arial"/>
      <w:b/>
      <w:bCs/>
      <w:snapToGrid w:val="0"/>
      <w:color w:val="000000"/>
      <w:sz w:val="21"/>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header" Target="header5.xml"/><Relationship Id="rId7" Type="http://schemas.openxmlformats.org/officeDocument/2006/relationships/header" Target="header4.xml"/><Relationship Id="rId64" Type="http://schemas.openxmlformats.org/officeDocument/2006/relationships/fontTable" Target="fontTable.xml"/><Relationship Id="rId63" Type="http://schemas.microsoft.com/office/2006/relationships/keyMapCustomizations" Target="customizations.xml"/><Relationship Id="rId62" Type="http://schemas.openxmlformats.org/officeDocument/2006/relationships/customXml" Target="../customXml/item1.xml"/><Relationship Id="rId61" Type="http://schemas.openxmlformats.org/officeDocument/2006/relationships/image" Target="media/image53.jpeg"/><Relationship Id="rId60" Type="http://schemas.openxmlformats.org/officeDocument/2006/relationships/image" Target="media/image52.jpeg"/><Relationship Id="rId6" Type="http://schemas.openxmlformats.org/officeDocument/2006/relationships/header" Target="header3.xml"/><Relationship Id="rId59" Type="http://schemas.openxmlformats.org/officeDocument/2006/relationships/image" Target="media/image51.jpeg"/><Relationship Id="rId58" Type="http://schemas.openxmlformats.org/officeDocument/2006/relationships/image" Target="media/image50.jpeg"/><Relationship Id="rId57" Type="http://schemas.openxmlformats.org/officeDocument/2006/relationships/image" Target="media/image49.jpeg"/><Relationship Id="rId56" Type="http://schemas.openxmlformats.org/officeDocument/2006/relationships/image" Target="media/image48.jpeg"/><Relationship Id="rId55" Type="http://schemas.openxmlformats.org/officeDocument/2006/relationships/image" Target="media/image47.jpeg"/><Relationship Id="rId54" Type="http://schemas.openxmlformats.org/officeDocument/2006/relationships/image" Target="media/image46.jpeg"/><Relationship Id="rId53" Type="http://schemas.openxmlformats.org/officeDocument/2006/relationships/image" Target="media/image45.jpeg"/><Relationship Id="rId52" Type="http://schemas.openxmlformats.org/officeDocument/2006/relationships/image" Target="media/image44.jpeg"/><Relationship Id="rId51" Type="http://schemas.openxmlformats.org/officeDocument/2006/relationships/image" Target="media/image43.jpeg"/><Relationship Id="rId50" Type="http://schemas.openxmlformats.org/officeDocument/2006/relationships/image" Target="media/image42.jpeg"/><Relationship Id="rId5" Type="http://schemas.openxmlformats.org/officeDocument/2006/relationships/footer" Target="footer1.xml"/><Relationship Id="rId49" Type="http://schemas.openxmlformats.org/officeDocument/2006/relationships/image" Target="media/image41.jpeg"/><Relationship Id="rId48" Type="http://schemas.openxmlformats.org/officeDocument/2006/relationships/image" Target="media/image40.jpeg"/><Relationship Id="rId47" Type="http://schemas.openxmlformats.org/officeDocument/2006/relationships/image" Target="media/image39.jpeg"/><Relationship Id="rId46" Type="http://schemas.openxmlformats.org/officeDocument/2006/relationships/image" Target="media/image38.jpeg"/><Relationship Id="rId45" Type="http://schemas.openxmlformats.org/officeDocument/2006/relationships/image" Target="media/image37.jpeg"/><Relationship Id="rId44" Type="http://schemas.openxmlformats.org/officeDocument/2006/relationships/image" Target="media/image36.jpeg"/><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header" Target="head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E44CA-832D-48F6-ACE8-B85AE9C44D27}">
  <ds:schemaRefs/>
</ds:datastoreItem>
</file>

<file path=docProps/app.xml><?xml version="1.0" encoding="utf-8"?>
<Properties xmlns="http://schemas.openxmlformats.org/officeDocument/2006/extended-properties" xmlns:vt="http://schemas.openxmlformats.org/officeDocument/2006/docPropsVTypes">
  <Template>Normal</Template>
  <Pages>60</Pages>
  <Words>1727</Words>
  <Characters>1963</Characters>
  <Lines>187</Lines>
  <Paragraphs>227</Paragraphs>
  <TotalTime>127</TotalTime>
  <ScaleCrop>false</ScaleCrop>
  <LinksUpToDate>false</LinksUpToDate>
  <CharactersWithSpaces>1966</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2025-10-14T01:01:00Z</dcterms:created>
  <dc:creator>zhang</dc:creator>
  <cp:lastModifiedBy>张鹏</cp:lastModifiedBy>
  <dcterms:modified xsi:type="dcterms:W3CDTF">2025-10-20T07:58:47Z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2025-05-26T23:55:29Z</vt:filetime>
  </property>
  <property fmtid="{D5CDD505-2E9C-101B-9397-08002B2CF9AE}" pid="4" name="KSOTemplateDocerSaveRecord">
    <vt:lpwstr>eyJoZGlkIjoiNjYxOTE0NzFmZmNjYTVjODY0NTJmNTMzMDJiMjMwOTkiLCJ1c2VySWQiOiIyNTQ1NzYyMzUifQ==</vt:lpwstr>
  </property>
  <property fmtid="{D5CDD505-2E9C-101B-9397-08002B2CF9AE}" pid="5" name="KSOProductBuildVer">
    <vt:lpwstr>2052-12.1.0.23125</vt:lpwstr>
  </property>
  <property fmtid="{D5CDD505-2E9C-101B-9397-08002B2CF9AE}" pid="6" name="ICV">
    <vt:lpwstr>022B78B42AC94A9A91120CAADD58C542_13</vt:lpwstr>
  </property>
</Properties>
</file>